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both"/>
        <w:rPr>
          <w:rFonts w:hint="eastAsia" w:ascii="仿宋_gb2312" w:hAnsi="ÃƒÆ’Ã‚Â¥Ãƒâ€šÃ‚Â¾Ãƒâ€šÃ‚Â®ÃƒÆ’Ã" w:eastAsia="仿宋_gb2312" w:cs="仿宋_gb2312"/>
          <w:b/>
          <w:bCs/>
          <w:i w:val="0"/>
          <w:iCs w:val="0"/>
          <w:caps w:val="0"/>
          <w:color w:val="333333"/>
          <w:spacing w:val="0"/>
          <w:sz w:val="31"/>
          <w:szCs w:val="31"/>
          <w:shd w:val="clear" w:fill="FFFFFF"/>
          <w:lang w:val="en-US" w:eastAsia="zh-CN"/>
        </w:rPr>
      </w:pPr>
      <w:r>
        <w:rPr>
          <w:rFonts w:hint="eastAsia" w:ascii="仿宋_gb2312" w:hAnsi="ÃƒÆ’Ã‚Â¥Ãƒâ€šÃ‚Â¾Ãƒâ€šÃ‚Â®ÃƒÆ’Ã" w:eastAsia="仿宋_gb2312" w:cs="仿宋_gb2312"/>
          <w:b/>
          <w:bCs/>
          <w:i w:val="0"/>
          <w:iCs w:val="0"/>
          <w:caps w:val="0"/>
          <w:color w:val="333333"/>
          <w:spacing w:val="0"/>
          <w:sz w:val="31"/>
          <w:szCs w:val="31"/>
          <w:shd w:val="clear" w:fill="FFFFFF"/>
          <w:lang w:val="en-US" w:eastAsia="zh-CN"/>
        </w:rPr>
        <w:t>附件2：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center"/>
        <w:rPr>
          <w:rFonts w:hint="eastAsia" w:ascii="仿宋_gb2312" w:hAnsi="ÃƒÆ’Ã‚Â¥Ãƒâ€šÃ‚Â¾Ãƒâ€šÃ‚Â®ÃƒÆ’Ã" w:eastAsia="仿宋_gb2312" w:cs="仿宋_gb2312"/>
          <w:i w:val="0"/>
          <w:iCs w:val="0"/>
          <w:caps w:val="0"/>
          <w:color w:val="333333"/>
          <w:spacing w:val="0"/>
          <w:sz w:val="31"/>
          <w:szCs w:val="31"/>
          <w:shd w:val="clear" w:fill="FFFFFF"/>
          <w:lang w:val="en-US" w:eastAsia="zh-CN"/>
        </w:rPr>
      </w:pPr>
      <w:r>
        <w:rPr>
          <w:rFonts w:hint="eastAsia" w:ascii="宋体" w:hAnsi="宋体" w:eastAsia="宋体" w:cs="宋体"/>
          <w:b/>
          <w:bCs/>
          <w:i w:val="0"/>
          <w:iCs w:val="0"/>
          <w:caps w:val="0"/>
          <w:color w:val="333333"/>
          <w:spacing w:val="0"/>
          <w:kern w:val="0"/>
          <w:sz w:val="44"/>
          <w:szCs w:val="44"/>
          <w:shd w:val="clear" w:fill="FFFFFF"/>
          <w:lang w:val="en-US" w:eastAsia="zh-CN" w:bidi="ar"/>
        </w:rPr>
        <w:fldChar w:fldCharType="begin"/>
      </w:r>
      <w:r>
        <w:rPr>
          <w:rFonts w:hint="eastAsia" w:ascii="宋体" w:hAnsi="宋体" w:eastAsia="宋体" w:cs="宋体"/>
          <w:b/>
          <w:bCs/>
          <w:i w:val="0"/>
          <w:iCs w:val="0"/>
          <w:caps w:val="0"/>
          <w:color w:val="333333"/>
          <w:spacing w:val="0"/>
          <w:kern w:val="0"/>
          <w:sz w:val="44"/>
          <w:szCs w:val="44"/>
          <w:shd w:val="clear" w:fill="FFFFFF"/>
          <w:lang w:val="en-US" w:eastAsia="zh-CN" w:bidi="ar"/>
        </w:rPr>
        <w:instrText xml:space="preserve"> HYPERLINK "https://scjgj.dazhou.gov.cn/uploadfile/1/Attachment/8ceb92cd37.pdf" </w:instrText>
      </w:r>
      <w:r>
        <w:rPr>
          <w:rFonts w:hint="eastAsia" w:ascii="宋体" w:hAnsi="宋体" w:eastAsia="宋体" w:cs="宋体"/>
          <w:b/>
          <w:bCs/>
          <w:i w:val="0"/>
          <w:iCs w:val="0"/>
          <w:caps w:val="0"/>
          <w:color w:val="333333"/>
          <w:spacing w:val="0"/>
          <w:kern w:val="0"/>
          <w:sz w:val="44"/>
          <w:szCs w:val="44"/>
          <w:shd w:val="clear" w:fill="FFFFFF"/>
          <w:lang w:val="en-US" w:eastAsia="zh-CN" w:bidi="ar"/>
        </w:rPr>
        <w:fldChar w:fldCharType="separate"/>
      </w:r>
      <w:r>
        <w:rPr>
          <w:rFonts w:hint="eastAsia" w:ascii="宋体" w:hAnsi="宋体" w:eastAsia="宋体" w:cs="宋体"/>
          <w:b/>
          <w:bCs/>
          <w:i w:val="0"/>
          <w:iCs w:val="0"/>
          <w:caps w:val="0"/>
          <w:color w:val="333333"/>
          <w:spacing w:val="0"/>
          <w:kern w:val="0"/>
          <w:sz w:val="44"/>
          <w:szCs w:val="44"/>
          <w:shd w:val="clear" w:fill="FFFFFF"/>
          <w:lang w:val="en-US" w:eastAsia="zh-CN" w:bidi="ar"/>
        </w:rPr>
        <w:t>《达州市专利转化运用专项行动实施方案》（征求意见稿）</w:t>
      </w:r>
      <w:r>
        <w:rPr>
          <w:rFonts w:hint="eastAsia" w:ascii="宋体" w:hAnsi="宋体" w:eastAsia="宋体" w:cs="宋体"/>
          <w:b/>
          <w:bCs/>
          <w:i w:val="0"/>
          <w:iCs w:val="0"/>
          <w:caps w:val="0"/>
          <w:color w:val="333333"/>
          <w:spacing w:val="0"/>
          <w:kern w:val="0"/>
          <w:sz w:val="44"/>
          <w:szCs w:val="44"/>
          <w:shd w:val="clear" w:fill="FFFFFF"/>
          <w:lang w:val="en-US" w:eastAsia="zh-CN" w:bidi="ar"/>
        </w:rPr>
        <w:fldChar w:fldCharType="end"/>
      </w:r>
      <w:r>
        <w:rPr>
          <w:rFonts w:hint="eastAsia" w:ascii="宋体" w:hAnsi="宋体" w:eastAsia="宋体" w:cs="宋体"/>
          <w:b/>
          <w:bCs/>
          <w:i w:val="0"/>
          <w:iCs w:val="0"/>
          <w:caps w:val="0"/>
          <w:color w:val="333333"/>
          <w:spacing w:val="0"/>
          <w:kern w:val="0"/>
          <w:sz w:val="44"/>
          <w:szCs w:val="44"/>
          <w:shd w:val="clear" w:fill="FFFFFF"/>
          <w:lang w:val="en-US" w:eastAsia="zh-CN" w:bidi="ar"/>
        </w:rPr>
        <w:t>起草说明</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起草背景及过程</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 w:hAnsi="仿宋" w:eastAsia="仿宋" w:cs="仿宋"/>
          <w:snapToGrid w:val="0"/>
          <w:color w:val="000000"/>
          <w:kern w:val="0"/>
          <w:sz w:val="32"/>
          <w:szCs w:val="32"/>
          <w:lang w:val="en-US" w:eastAsia="zh-CN" w:bidi="ar-SA"/>
        </w:rPr>
        <w:t>为深入贯彻习近平总书记关于加强知识产权</w:t>
      </w:r>
      <w:bookmarkStart w:id="0" w:name="_GoBack"/>
      <w:bookmarkEnd w:id="0"/>
      <w:r>
        <w:rPr>
          <w:rFonts w:hint="eastAsia" w:ascii="仿宋" w:hAnsi="仿宋" w:eastAsia="仿宋" w:cs="仿宋"/>
          <w:snapToGrid w:val="0"/>
          <w:color w:val="000000"/>
          <w:kern w:val="0"/>
          <w:sz w:val="32"/>
          <w:szCs w:val="32"/>
          <w:lang w:val="en-US" w:eastAsia="zh-CN" w:bidi="ar-SA"/>
        </w:rPr>
        <w:t>工作的重要论述精神，2023年10月17日，国务院办公厅印发《专利转化运用专项行动方案（2023-2025年）》，提出大力推动专利产业化，加快创新成果向现实生产力转化，要求各地区各部门结合实际认真贯彻落实。2024年7月11日，四川省人民政府办公厅印发《四川省专利转化运用专项行动实施方案》，立足于四川实际对我省实施专利转化运用专项行动的重点工作和责任单位进行了细化安排。为切实加快推动我市专利实施与产业化，有效解决专利转化运用中存在的问题，我局代市政府办公室起草了《达州市专利转化运用专项行动实施方案》（以下简称：《实施方案》），经征求各县（市、区）人民政府，达州高新区、达州东部经开区管委会，市级相关部门意见，修改完善后</w:t>
      </w:r>
      <w:r>
        <w:rPr>
          <w:rFonts w:hint="default" w:ascii="Times New Roman" w:hAnsi="Times New Roman" w:eastAsia="仿宋_GB2312" w:cs="Times New Roman"/>
          <w:sz w:val="32"/>
          <w:szCs w:val="32"/>
          <w:lang w:val="en-US" w:eastAsia="zh-CN"/>
        </w:rPr>
        <w:t>形成今天上会的审议稿。</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二、主要内容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 w:hAnsi="仿宋" w:eastAsia="仿宋" w:cs="仿宋"/>
          <w:snapToGrid w:val="0"/>
          <w:color w:val="000000"/>
          <w:kern w:val="0"/>
          <w:sz w:val="32"/>
          <w:szCs w:val="32"/>
          <w:lang w:val="en-US" w:eastAsia="zh-CN" w:bidi="ar-SA"/>
        </w:rPr>
      </w:pPr>
      <w:r>
        <w:rPr>
          <w:rFonts w:hint="eastAsia" w:ascii="楷体" w:hAnsi="楷体" w:eastAsia="楷体" w:cs="楷体"/>
          <w:snapToGrid w:val="0"/>
          <w:color w:val="000000"/>
          <w:kern w:val="0"/>
          <w:sz w:val="32"/>
          <w:szCs w:val="32"/>
          <w:lang w:val="en-US" w:eastAsia="zh-CN" w:bidi="ar-SA"/>
        </w:rPr>
        <w:t>（一）《实施方案》的总体目标。</w:t>
      </w:r>
      <w:r>
        <w:rPr>
          <w:rFonts w:hint="eastAsia" w:ascii="仿宋" w:hAnsi="仿宋" w:eastAsia="仿宋" w:cs="仿宋"/>
          <w:snapToGrid w:val="0"/>
          <w:color w:val="000000"/>
          <w:kern w:val="0"/>
          <w:sz w:val="32"/>
          <w:szCs w:val="32"/>
          <w:lang w:val="en-US" w:eastAsia="zh-CN" w:bidi="ar-SA"/>
        </w:rPr>
        <w:t>《实施方案》提出通过实施专利转化运用专项行动，进一步健全我市专利转化运用工作机制，畅通各类创新主体专利转化运用渠道，到2025年底预期目标为：一批高价值专利实现产业化、专利实施率和产业化率明显提高、重点产业领域知识产权竞争优势进一步凸显。</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 w:hAnsi="仿宋" w:eastAsia="仿宋" w:cs="仿宋"/>
          <w:snapToGrid w:val="0"/>
          <w:color w:val="000000"/>
          <w:kern w:val="0"/>
          <w:sz w:val="32"/>
          <w:szCs w:val="32"/>
          <w:lang w:val="en-US" w:eastAsia="zh-CN" w:bidi="ar-SA"/>
        </w:rPr>
      </w:pPr>
      <w:r>
        <w:rPr>
          <w:rFonts w:hint="eastAsia" w:ascii="楷体" w:hAnsi="楷体" w:eastAsia="楷体" w:cs="楷体"/>
          <w:snapToGrid w:val="0"/>
          <w:color w:val="000000"/>
          <w:kern w:val="0"/>
          <w:sz w:val="32"/>
          <w:szCs w:val="32"/>
          <w:lang w:val="en-US" w:eastAsia="zh-CN" w:bidi="ar-SA"/>
        </w:rPr>
        <w:t>（二）《实施方案》的主要内容。</w:t>
      </w:r>
      <w:r>
        <w:rPr>
          <w:rFonts w:hint="eastAsia" w:ascii="仿宋" w:hAnsi="仿宋" w:eastAsia="仿宋" w:cs="仿宋"/>
          <w:snapToGrid w:val="0"/>
          <w:color w:val="000000"/>
          <w:kern w:val="0"/>
          <w:sz w:val="32"/>
          <w:szCs w:val="32"/>
          <w:lang w:val="en-US" w:eastAsia="zh-CN" w:bidi="ar-SA"/>
        </w:rPr>
        <w:t>《实施方案》坚持问题导向，聚焦转化率偏低、激励不足、机制不畅等堵点难点问题，立足我市实际，注重充分发挥知识产权制度供给和技术供给的双重作用，明确了五个方面重点工作。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b/>
          <w:bCs/>
          <w:snapToGrid w:val="0"/>
          <w:color w:val="000000"/>
          <w:kern w:val="0"/>
          <w:sz w:val="32"/>
          <w:szCs w:val="32"/>
          <w:lang w:val="en-US" w:eastAsia="zh-CN" w:bidi="ar-SA"/>
        </w:rPr>
        <w:t>一是全面梳理存量专利。</w:t>
      </w:r>
      <w:r>
        <w:rPr>
          <w:rFonts w:hint="eastAsia" w:ascii="仿宋" w:hAnsi="仿宋" w:eastAsia="仿宋" w:cs="仿宋"/>
          <w:snapToGrid w:val="0"/>
          <w:color w:val="000000"/>
          <w:kern w:val="0"/>
          <w:sz w:val="32"/>
          <w:szCs w:val="32"/>
          <w:lang w:val="en-US" w:eastAsia="zh-CN" w:bidi="ar-SA"/>
        </w:rPr>
        <w:t>包括组织市内高校和科研机构依托国家专利导航综合服务平台对存量专利梳理盘点登记后形成专利转化资源库、动员引导潜在需求企业参与存量专利市场评价2项内容，确保2024年底前完成高校和科研机构未转化有效专利的全覆盖盘点。</w:t>
      </w:r>
      <w:r>
        <w:rPr>
          <w:rFonts w:hint="eastAsia" w:ascii="仿宋" w:hAnsi="仿宋" w:eastAsia="仿宋" w:cs="仿宋"/>
          <w:b/>
          <w:bCs/>
          <w:snapToGrid w:val="0"/>
          <w:color w:val="000000"/>
          <w:kern w:val="0"/>
          <w:sz w:val="32"/>
          <w:szCs w:val="32"/>
          <w:lang w:val="en-US" w:eastAsia="zh-CN" w:bidi="ar-SA"/>
        </w:rPr>
        <w:t>二是加速推进转化运用。</w:t>
      </w:r>
      <w:r>
        <w:rPr>
          <w:rFonts w:hint="eastAsia" w:ascii="仿宋" w:hAnsi="仿宋" w:eastAsia="仿宋" w:cs="仿宋"/>
          <w:snapToGrid w:val="0"/>
          <w:color w:val="000000"/>
          <w:kern w:val="0"/>
          <w:sz w:val="32"/>
          <w:szCs w:val="32"/>
          <w:lang w:val="en-US" w:eastAsia="zh-CN" w:bidi="ar-SA"/>
        </w:rPr>
        <w:t>从重要环节着手精准施策，包括基于产业细分领域促进专利供需对接精准匹配、推动专利转化运用在产业端见效赋能优势产业发展、帮助中小企业提升专利产业化能力、推动专利转化运用形成更多专利密集型产品4项内容。</w:t>
      </w:r>
      <w:r>
        <w:rPr>
          <w:rFonts w:hint="eastAsia" w:ascii="仿宋" w:hAnsi="仿宋" w:eastAsia="仿宋" w:cs="仿宋"/>
          <w:b/>
          <w:bCs/>
          <w:snapToGrid w:val="0"/>
          <w:color w:val="000000"/>
          <w:kern w:val="0"/>
          <w:sz w:val="32"/>
          <w:szCs w:val="32"/>
          <w:lang w:val="en-US" w:eastAsia="zh-CN" w:bidi="ar-SA"/>
        </w:rPr>
        <w:t>三是加强政策激励支撑。</w:t>
      </w:r>
      <w:r>
        <w:rPr>
          <w:rFonts w:hint="eastAsia" w:ascii="仿宋" w:hAnsi="仿宋" w:eastAsia="仿宋" w:cs="仿宋"/>
          <w:snapToGrid w:val="0"/>
          <w:color w:val="000000"/>
          <w:kern w:val="0"/>
          <w:sz w:val="32"/>
          <w:szCs w:val="32"/>
          <w:lang w:val="en-US" w:eastAsia="zh-CN" w:bidi="ar-SA"/>
        </w:rPr>
        <w:t>强调要推动健全职务科技成果单列管理制度，改进有关考核方式，进一步加强转化激励。同时，提出在省级及以下涉及专利指标的项目评审、机构评估、企业认定、人才评价、职称评定等工作中不得直接将专利数量作为主要条件的约束要求，进一步突出转化运用导向。</w:t>
      </w:r>
      <w:r>
        <w:rPr>
          <w:rFonts w:hint="eastAsia" w:ascii="仿宋" w:hAnsi="仿宋" w:eastAsia="仿宋" w:cs="仿宋"/>
          <w:b/>
          <w:bCs/>
          <w:snapToGrid w:val="0"/>
          <w:color w:val="000000"/>
          <w:kern w:val="0"/>
          <w:sz w:val="32"/>
          <w:szCs w:val="32"/>
          <w:lang w:val="en-US" w:eastAsia="zh-CN" w:bidi="ar-SA"/>
        </w:rPr>
        <w:t>四是夯实转化运用基础。</w:t>
      </w:r>
      <w:r>
        <w:rPr>
          <w:rFonts w:hint="eastAsia" w:ascii="仿宋" w:hAnsi="仿宋" w:eastAsia="仿宋" w:cs="仿宋"/>
          <w:snapToGrid w:val="0"/>
          <w:color w:val="000000"/>
          <w:kern w:val="0"/>
          <w:sz w:val="32"/>
          <w:szCs w:val="32"/>
          <w:lang w:val="en-US" w:eastAsia="zh-CN" w:bidi="ar-SA"/>
        </w:rPr>
        <w:t>包括促进知识产权交易运营、推进多元化知识产权金融支持、提升专利转化运用服务质效3项内容，帮助专利转化运用的供给侧和需求侧实现技术、资金、管理等要素的高效配置，提高专利转化效率和效益。</w:t>
      </w:r>
      <w:r>
        <w:rPr>
          <w:rFonts w:hint="eastAsia" w:ascii="仿宋" w:hAnsi="仿宋" w:eastAsia="仿宋" w:cs="仿宋"/>
          <w:b/>
          <w:bCs/>
          <w:snapToGrid w:val="0"/>
          <w:color w:val="000000"/>
          <w:kern w:val="0"/>
          <w:sz w:val="32"/>
          <w:szCs w:val="32"/>
          <w:lang w:val="en-US" w:eastAsia="zh-CN" w:bidi="ar-SA"/>
        </w:rPr>
        <w:t>五是提升专利供给质量。</w:t>
      </w:r>
      <w:r>
        <w:rPr>
          <w:rFonts w:hint="eastAsia" w:ascii="仿宋" w:hAnsi="仿宋" w:eastAsia="仿宋" w:cs="仿宋"/>
          <w:snapToGrid w:val="0"/>
          <w:color w:val="000000"/>
          <w:kern w:val="0"/>
          <w:sz w:val="32"/>
          <w:szCs w:val="32"/>
          <w:lang w:val="en-US" w:eastAsia="zh-CN" w:bidi="ar-SA"/>
        </w:rPr>
        <w:t>包括围绕产业需求加强专利技术创新、实施专利申请前评估制度2项内容，鼓励和支持企业、高校、科研机构，围绕产业链供应链部署创新链，培育和发现一批弥补共性技术短板、具有行业领先优势的高价值专利和专利组合。推动高校和科研机构加快实施以产业化前景分析为核心的专利申请前评估制度，建立以质量为导向的专利代理等服务招标机制。</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 w:hAnsi="仿宋" w:eastAsia="仿宋" w:cs="仿宋"/>
          <w:snapToGrid w:val="0"/>
          <w:color w:val="000000"/>
          <w:kern w:val="0"/>
          <w:sz w:val="32"/>
          <w:szCs w:val="32"/>
          <w:lang w:val="en-US" w:eastAsia="zh-CN" w:bidi="ar-SA"/>
        </w:rPr>
      </w:pPr>
      <w:r>
        <w:rPr>
          <w:rFonts w:hint="eastAsia" w:ascii="楷体" w:hAnsi="楷体" w:eastAsia="楷体" w:cs="楷体"/>
          <w:snapToGrid w:val="0"/>
          <w:color w:val="000000"/>
          <w:kern w:val="0"/>
          <w:sz w:val="32"/>
          <w:szCs w:val="32"/>
          <w:lang w:val="en-US" w:eastAsia="zh-CN" w:bidi="ar-SA"/>
        </w:rPr>
        <w:t>（三）《实施方案》的本地特色。</w:t>
      </w:r>
      <w:r>
        <w:rPr>
          <w:rFonts w:hint="eastAsia" w:ascii="仿宋" w:hAnsi="仿宋" w:eastAsia="仿宋" w:cs="仿宋"/>
          <w:snapToGrid w:val="0"/>
          <w:color w:val="000000"/>
          <w:kern w:val="0"/>
          <w:sz w:val="32"/>
          <w:szCs w:val="32"/>
          <w:lang w:val="en-US" w:eastAsia="zh-CN" w:bidi="ar-SA"/>
        </w:rPr>
        <w:t>《实施方案》在对标对表党中央、国务院决策部署的同时，结合我市实际提出了具有达州特色的工作内容。</w:t>
      </w:r>
      <w:r>
        <w:rPr>
          <w:rFonts w:hint="eastAsia" w:ascii="仿宋" w:hAnsi="仿宋" w:eastAsia="仿宋" w:cs="仿宋"/>
          <w:b/>
          <w:bCs/>
          <w:snapToGrid w:val="0"/>
          <w:color w:val="000000"/>
          <w:kern w:val="0"/>
          <w:sz w:val="32"/>
          <w:szCs w:val="32"/>
          <w:lang w:val="en-US" w:eastAsia="zh-CN" w:bidi="ar-SA"/>
        </w:rPr>
        <w:t>一是</w:t>
      </w:r>
      <w:r>
        <w:rPr>
          <w:rFonts w:hint="eastAsia" w:ascii="仿宋" w:hAnsi="仿宋" w:eastAsia="仿宋" w:cs="仿宋"/>
          <w:snapToGrid w:val="0"/>
          <w:color w:val="000000"/>
          <w:kern w:val="0"/>
          <w:sz w:val="32"/>
          <w:szCs w:val="32"/>
          <w:lang w:val="en-US" w:eastAsia="zh-CN" w:bidi="ar-SA"/>
        </w:rPr>
        <w:t>紧盯我市优势产业促转化，在梳理盘活高校和科研机构存量专利、建设产业知识产权创新联合体及知识产权运营中心等方面，紧紧围绕我市四大优势产业和战略性新兴产业，力争在相关细分产业领域内转化一批高价值专利，布局一批关键核心专利。</w:t>
      </w:r>
      <w:r>
        <w:rPr>
          <w:rFonts w:hint="eastAsia" w:ascii="仿宋" w:hAnsi="仿宋" w:eastAsia="仿宋" w:cs="仿宋"/>
          <w:b/>
          <w:bCs/>
          <w:snapToGrid w:val="0"/>
          <w:color w:val="000000"/>
          <w:kern w:val="0"/>
          <w:sz w:val="32"/>
          <w:szCs w:val="32"/>
          <w:lang w:val="en-US" w:eastAsia="zh-CN" w:bidi="ar-SA"/>
        </w:rPr>
        <w:t>二是</w:t>
      </w:r>
      <w:r>
        <w:rPr>
          <w:rFonts w:hint="eastAsia" w:ascii="仿宋" w:hAnsi="仿宋" w:eastAsia="仿宋" w:cs="仿宋"/>
          <w:snapToGrid w:val="0"/>
          <w:color w:val="000000"/>
          <w:kern w:val="0"/>
          <w:sz w:val="32"/>
          <w:szCs w:val="32"/>
          <w:lang w:val="en-US" w:eastAsia="zh-CN" w:bidi="ar-SA"/>
        </w:rPr>
        <w:t>紧盯科技成果转化抓创新，持续深化专利领域职务科技成果管理新模式，推动高校和科研机构建立健全职务科技成果单列管理制度和尽责免责容错机制，力争在政策激励方面取得“达州亮点”。</w:t>
      </w:r>
      <w:r>
        <w:rPr>
          <w:rFonts w:hint="eastAsia" w:ascii="仿宋" w:hAnsi="仿宋" w:eastAsia="仿宋" w:cs="仿宋"/>
          <w:b/>
          <w:bCs/>
          <w:snapToGrid w:val="0"/>
          <w:color w:val="000000"/>
          <w:kern w:val="0"/>
          <w:sz w:val="32"/>
          <w:szCs w:val="32"/>
          <w:lang w:val="en-US" w:eastAsia="zh-CN" w:bidi="ar-SA"/>
        </w:rPr>
        <w:t>三是</w:t>
      </w:r>
      <w:r>
        <w:rPr>
          <w:rFonts w:hint="eastAsia" w:ascii="仿宋" w:hAnsi="仿宋" w:eastAsia="仿宋" w:cs="仿宋"/>
          <w:snapToGrid w:val="0"/>
          <w:color w:val="000000"/>
          <w:kern w:val="0"/>
          <w:sz w:val="32"/>
          <w:szCs w:val="32"/>
          <w:lang w:val="en-US" w:eastAsia="zh-CN" w:bidi="ar-SA"/>
        </w:rPr>
        <w:t>紧盯知识产权金融强服务，进一步强化知识产权金融生态建设，推广多元化知识产权质押融资模式，为专利产业化提供有力的金融支持。</w:t>
      </w:r>
      <w:r>
        <w:rPr>
          <w:rFonts w:hint="eastAsia" w:ascii="仿宋" w:hAnsi="仿宋" w:eastAsia="仿宋" w:cs="仿宋"/>
          <w:b/>
          <w:bCs/>
          <w:snapToGrid w:val="0"/>
          <w:color w:val="000000"/>
          <w:kern w:val="0"/>
          <w:sz w:val="32"/>
          <w:szCs w:val="32"/>
          <w:lang w:val="en-US" w:eastAsia="zh-CN" w:bidi="ar-SA"/>
        </w:rPr>
        <w:t>四是</w:t>
      </w:r>
      <w:r>
        <w:rPr>
          <w:rFonts w:hint="eastAsia" w:ascii="仿宋" w:hAnsi="仿宋" w:eastAsia="仿宋" w:cs="仿宋"/>
          <w:snapToGrid w:val="0"/>
          <w:color w:val="000000"/>
          <w:kern w:val="0"/>
          <w:sz w:val="32"/>
          <w:szCs w:val="32"/>
          <w:lang w:val="en-US" w:eastAsia="zh-CN" w:bidi="ar-SA"/>
        </w:rPr>
        <w:t>紧盯增值化建设降门槛</w:t>
      </w:r>
      <w:r>
        <w:rPr>
          <w:rFonts w:hint="eastAsia" w:ascii="仿宋" w:hAnsi="仿宋" w:eastAsia="仿宋" w:cs="仿宋"/>
          <w:b/>
          <w:bCs/>
          <w:snapToGrid w:val="0"/>
          <w:color w:val="000000"/>
          <w:kern w:val="0"/>
          <w:sz w:val="32"/>
          <w:szCs w:val="32"/>
          <w:lang w:val="en-US" w:eastAsia="zh-CN" w:bidi="ar-SA"/>
        </w:rPr>
        <w:t>，</w:t>
      </w:r>
      <w:r>
        <w:rPr>
          <w:rFonts w:hint="eastAsia" w:ascii="仿宋" w:hAnsi="仿宋" w:eastAsia="仿宋" w:cs="仿宋"/>
          <w:snapToGrid w:val="0"/>
          <w:color w:val="000000"/>
          <w:kern w:val="0"/>
          <w:sz w:val="32"/>
          <w:szCs w:val="32"/>
          <w:lang w:val="en-US" w:eastAsia="zh-CN" w:bidi="ar-SA"/>
        </w:rPr>
        <w:t>高效</w:t>
      </w:r>
      <w:r>
        <w:rPr>
          <w:rFonts w:hint="default" w:ascii="仿宋" w:hAnsi="仿宋" w:eastAsia="仿宋" w:cs="仿宋"/>
          <w:snapToGrid w:val="0"/>
          <w:color w:val="000000"/>
          <w:kern w:val="0"/>
          <w:sz w:val="32"/>
          <w:szCs w:val="32"/>
          <w:lang w:val="en-US" w:eastAsia="zh-CN" w:bidi="ar-SA"/>
        </w:rPr>
        <w:t>发挥达州市“万市兴”综合服务平台“一站式”服务优势，持续提升知识产权公共服务机构服务能力，为中小企业专利产业化提供</w:t>
      </w:r>
      <w:r>
        <w:rPr>
          <w:rFonts w:hint="eastAsia" w:ascii="仿宋" w:hAnsi="仿宋" w:eastAsia="仿宋" w:cs="仿宋"/>
          <w:snapToGrid w:val="0"/>
          <w:color w:val="000000"/>
          <w:kern w:val="0"/>
          <w:sz w:val="32"/>
          <w:szCs w:val="32"/>
          <w:lang w:val="en-US" w:eastAsia="zh-CN" w:bidi="ar-SA"/>
        </w:rPr>
        <w:t>更多差异化、定制化、</w:t>
      </w:r>
      <w:r>
        <w:rPr>
          <w:rFonts w:hint="default" w:ascii="仿宋" w:hAnsi="仿宋" w:eastAsia="仿宋" w:cs="仿宋"/>
          <w:snapToGrid w:val="0"/>
          <w:color w:val="000000"/>
          <w:kern w:val="0"/>
          <w:sz w:val="32"/>
          <w:szCs w:val="32"/>
          <w:lang w:val="en-US" w:eastAsia="zh-CN" w:bidi="ar-SA"/>
        </w:rPr>
        <w:t>增值化服务。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方正小标宋_GBK">
    <w:altName w:val="文泉驿微米黑"/>
    <w:panose1 w:val="03000509000000000000"/>
    <w:charset w:val="86"/>
    <w:family w:val="auto"/>
    <w:pitch w:val="default"/>
    <w:sig w:usb0="00000000" w:usb1="00000000" w:usb2="00000000" w:usb3="00000000" w:csb0="00040000" w:csb1="00000000"/>
  </w:font>
  <w:font w:name="仿宋_gb2312">
    <w:altName w:val="文泉驿微米黑"/>
    <w:panose1 w:val="00000000000000000000"/>
    <w:charset w:val="00"/>
    <w:family w:val="auto"/>
    <w:pitch w:val="default"/>
    <w:sig w:usb0="00000000" w:usb1="00000000" w:usb2="00000000" w:usb3="00000000" w:csb0="00000000" w:csb1="00000000"/>
  </w:font>
  <w:font w:name="ÃƒÆ’Ã‚Â¥Ãƒâ€šÃ‚Â¾Ãƒâ€šÃ‚Â®ÃƒÆ’Ã">
    <w:altName w:val="文泉驿微米黑"/>
    <w:panose1 w:val="00000000000000000000"/>
    <w:charset w:val="00"/>
    <w:family w:val="auto"/>
    <w:pitch w:val="default"/>
    <w:sig w:usb0="00000000" w:usb1="00000000" w:usb2="00000000" w:usb3="00000000" w:csb0="00000000" w:csb1="00000000"/>
  </w:font>
  <w:font w:name="仿宋_GB2312">
    <w:altName w:val="文泉驿微米黑"/>
    <w:panose1 w:val="02010609030101010101"/>
    <w:charset w:val="86"/>
    <w:family w:val="auto"/>
    <w:pitch w:val="default"/>
    <w:sig w:usb0="00000000" w:usb1="00000000" w:usb2="00000000" w:usb3="00000000" w:csb0="00040000" w:csb1="00000000"/>
  </w:font>
  <w:font w:name="仿宋">
    <w:altName w:val="文泉驿微米黑"/>
    <w:panose1 w:val="02010609060101010101"/>
    <w:charset w:val="86"/>
    <w:family w:val="auto"/>
    <w:pitch w:val="default"/>
    <w:sig w:usb0="00000000" w:usb1="00000000" w:usb2="00000016" w:usb3="00000000" w:csb0="00040001" w:csb1="00000000"/>
  </w:font>
  <w:font w:name="楷体">
    <w:altName w:val="文泉驿微米黑"/>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F633B"/>
    <w:multiLevelType w:val="singleLevel"/>
    <w:tmpl w:val="F37F63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16713B2"/>
    <w:rsid w:val="F167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style>
  <w:style w:type="paragraph" w:styleId="3">
    <w:name w:val="Body Text"/>
    <w:basedOn w:val="1"/>
    <w:next w:val="4"/>
    <w:qFormat/>
    <w:uiPriority w:val="0"/>
    <w:pPr>
      <w:spacing w:before="0" w:after="140" w:line="276" w:lineRule="auto"/>
    </w:pPr>
  </w:style>
  <w:style w:type="paragraph" w:customStyle="1" w:styleId="4">
    <w:name w:val="Default"/>
    <w:next w:val="1"/>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2024-08-30T16:31:00Z</dcterms:created>
  <dc:creator>与鹤</dc:creator>
  <cp:lastModifiedBy>与鹤</cp:lastModifiedBy>
  <dcterms:modified xsi:type="dcterms:W3CDTF">2024-08-30T16:31:21Z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