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4" w:lineRule="exact"/>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4" w:lineRule="exact"/>
        <w:jc w:val="center"/>
        <w:textAlignment w:val="auto"/>
        <w:rPr>
          <w:rFonts w:hint="eastAsia" w:ascii="Times New Roman" w:hAnsi="Times New Roman" w:eastAsia="方正小标宋简体" w:cs="Times New Roman"/>
          <w:color w:val="auto"/>
          <w:sz w:val="44"/>
          <w:szCs w:val="44"/>
          <w:lang w:eastAsia="zh-CN"/>
        </w:rPr>
      </w:pPr>
      <w:bookmarkStart w:id="0" w:name="_GoBack"/>
      <w:r>
        <w:rPr>
          <w:rFonts w:hint="default" w:ascii="Times New Roman" w:hAnsi="Times New Roman" w:eastAsia="方正小标宋简体" w:cs="Times New Roman"/>
          <w:color w:val="auto"/>
          <w:sz w:val="44"/>
          <w:szCs w:val="44"/>
          <w:lang w:eastAsia="zh-CN"/>
        </w:rPr>
        <w:t>达州市质量强市三年攻坚</w:t>
      </w:r>
      <w:r>
        <w:rPr>
          <w:rFonts w:hint="eastAsia" w:ascii="Times New Roman" w:hAnsi="Times New Roman" w:eastAsia="方正小标宋简体" w:cs="Times New Roman"/>
          <w:color w:val="auto"/>
          <w:sz w:val="44"/>
          <w:szCs w:val="44"/>
          <w:lang w:eastAsia="zh-CN"/>
        </w:rPr>
        <w:t>行动</w:t>
      </w:r>
      <w:r>
        <w:rPr>
          <w:rFonts w:hint="default" w:ascii="Times New Roman" w:hAnsi="Times New Roman" w:eastAsia="方正小标宋简体" w:cs="Times New Roman"/>
          <w:color w:val="auto"/>
          <w:sz w:val="44"/>
          <w:szCs w:val="44"/>
          <w:lang w:eastAsia="zh-CN"/>
        </w:rPr>
        <w:t>实施</w:t>
      </w:r>
      <w:r>
        <w:rPr>
          <w:rFonts w:hint="eastAsia" w:ascii="Times New Roman" w:hAnsi="Times New Roman" w:eastAsia="方正小标宋简体" w:cs="Times New Roman"/>
          <w:color w:val="auto"/>
          <w:sz w:val="44"/>
          <w:szCs w:val="44"/>
          <w:lang w:eastAsia="zh-CN"/>
        </w:rPr>
        <w:t>方案</w:t>
      </w:r>
      <w:bookmarkEnd w:id="0"/>
    </w:p>
    <w:p>
      <w:pPr>
        <w:pStyle w:val="8"/>
        <w:ind w:firstLine="0" w:firstLineChars="0"/>
        <w:jc w:val="center"/>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（征求意见稿）</w:t>
      </w:r>
    </w:p>
    <w:p>
      <w:pPr>
        <w:pStyle w:val="8"/>
        <w:rPr>
          <w:rFonts w:hint="default" w:ascii="Times New Roman" w:hAnsi="Times New Roman" w:eastAsia="楷体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为深入贯彻落实中共中央、国务院印发的《质量强国建设纲要》（中发〔2022〕17号）和《中共四川省委　四川省人民政府关于加快建设质量强省的实施意见》（川委发〔2023〕13号），加快推进质量强市建设，构筑高质量发展新优势，结合达州实际，现</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制定如下实施方案</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w:t>
      </w:r>
    </w:p>
    <w:p>
      <w:pPr>
        <w:pStyle w:val="8"/>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一、指导思想</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8" w:lineRule="exact"/>
        <w:ind w:firstLine="640" w:firstLineChars="200"/>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i w:val="0"/>
          <w:iCs w:val="0"/>
          <w:caps w:val="0"/>
          <w:color w:val="auto"/>
          <w:spacing w:val="0"/>
          <w:sz w:val="32"/>
          <w:szCs w:val="32"/>
          <w:shd w:val="clear" w:color="auto" w:fill="FFFFFF"/>
        </w:rPr>
        <w:t>以习近平新时代中国特色社会主义思想为指导，深入贯彻落实党的</w:t>
      </w:r>
      <w:r>
        <w:rPr>
          <w:rFonts w:hint="default" w:ascii="Times New Roman" w:hAnsi="Times New Roman" w:eastAsia="仿宋_GB2312" w:cs="Times New Roman"/>
          <w:i w:val="0"/>
          <w:iCs w:val="0"/>
          <w:caps w:val="0"/>
          <w:color w:val="auto"/>
          <w:spacing w:val="0"/>
          <w:sz w:val="32"/>
          <w:szCs w:val="32"/>
          <w:shd w:val="clear" w:color="auto" w:fill="FFFFFF"/>
          <w:lang w:eastAsia="zh-CN"/>
        </w:rPr>
        <w:t>二十</w:t>
      </w:r>
      <w:r>
        <w:rPr>
          <w:rFonts w:hint="default" w:ascii="Times New Roman" w:hAnsi="Times New Roman" w:eastAsia="仿宋_GB2312" w:cs="Times New Roman"/>
          <w:i w:val="0"/>
          <w:iCs w:val="0"/>
          <w:caps w:val="0"/>
          <w:color w:val="auto"/>
          <w:spacing w:val="0"/>
          <w:sz w:val="32"/>
          <w:szCs w:val="32"/>
          <w:shd w:val="clear" w:color="auto" w:fill="FFFFFF"/>
        </w:rPr>
        <w:t>大精神，完整、准确、全面贯彻新发展理念，积极服务和融入新发展格局</w:t>
      </w:r>
      <w:r>
        <w:rPr>
          <w:rFonts w:hint="default" w:ascii="Times New Roman" w:hAnsi="Times New Roman" w:eastAsia="仿宋_GB2312" w:cs="Times New Roman"/>
          <w:i w:val="0"/>
          <w:iCs w:val="0"/>
          <w:caps w:val="0"/>
          <w:color w:val="auto"/>
          <w:spacing w:val="0"/>
          <w:sz w:val="32"/>
          <w:szCs w:val="32"/>
          <w:shd w:val="clear" w:color="auto" w:fill="FFFFFF"/>
          <w:lang w:eastAsia="zh-CN"/>
        </w:rPr>
        <w:t>，围绕</w:t>
      </w:r>
      <w:r>
        <w:rPr>
          <w:rFonts w:hint="default" w:ascii="Times New Roman" w:hAnsi="Times New Roman" w:eastAsia="仿宋_GB2312" w:cs="Times New Roman"/>
          <w:i w:val="0"/>
          <w:iCs w:val="0"/>
          <w:caps w:val="0"/>
          <w:color w:val="auto"/>
          <w:spacing w:val="0"/>
          <w:sz w:val="32"/>
          <w:szCs w:val="32"/>
          <w:shd w:val="clear" w:color="auto" w:fill="FFFFFF"/>
        </w:rPr>
        <w:t>川渝万达开地区统筹发展和</w:t>
      </w:r>
      <w:r>
        <w:rPr>
          <w:rFonts w:hint="default" w:ascii="Times New Roman" w:hAnsi="Times New Roman" w:eastAsia="仿宋_GB2312" w:cs="Times New Roman"/>
          <w:i w:val="0"/>
          <w:iCs w:val="0"/>
          <w:caps w:val="0"/>
          <w:color w:val="auto"/>
          <w:spacing w:val="0"/>
          <w:sz w:val="32"/>
          <w:szCs w:val="32"/>
          <w:shd w:val="clear" w:color="auto" w:fill="FFFFFF"/>
          <w:lang w:eastAsia="zh-CN"/>
        </w:rPr>
        <w:t>“一区一枢纽一中心”定</w:t>
      </w:r>
      <w:r>
        <w:rPr>
          <w:rFonts w:hint="default" w:ascii="Times New Roman" w:hAnsi="Times New Roman" w:eastAsia="仿宋_GB2312" w:cs="Times New Roman"/>
          <w:i w:val="0"/>
          <w:iCs w:val="0"/>
          <w:caps w:val="0"/>
          <w:color w:val="auto"/>
          <w:spacing w:val="0"/>
          <w:sz w:val="32"/>
          <w:szCs w:val="32"/>
          <w:shd w:val="clear" w:color="auto" w:fill="FFFFFF"/>
        </w:rPr>
        <w:t>位，</w:t>
      </w:r>
      <w:r>
        <w:rPr>
          <w:rFonts w:hint="default" w:ascii="Times New Roman" w:hAnsi="Times New Roman" w:eastAsia="仿宋_GB2312" w:cs="Times New Roman"/>
          <w:i w:val="0"/>
          <w:iCs w:val="0"/>
          <w:caps w:val="0"/>
          <w:color w:val="auto"/>
          <w:spacing w:val="0"/>
          <w:sz w:val="32"/>
          <w:szCs w:val="32"/>
          <w:shd w:val="clear" w:color="auto" w:fill="FFFFFF"/>
          <w:lang w:eastAsia="zh-CN"/>
        </w:rPr>
        <w:t>以质量变革创新为根本动力，以质量强企强链强县为主攻方向，</w:t>
      </w:r>
      <w:r>
        <w:rPr>
          <w:rFonts w:hint="default" w:ascii="Times New Roman" w:hAnsi="Times New Roman" w:eastAsia="仿宋_GB2312" w:cs="Times New Roman"/>
          <w:i w:val="0"/>
          <w:iCs w:val="0"/>
          <w:caps w:val="0"/>
          <w:color w:val="auto"/>
          <w:spacing w:val="0"/>
          <w:sz w:val="32"/>
          <w:szCs w:val="32"/>
          <w:shd w:val="clear" w:color="auto" w:fill="FFFFFF"/>
        </w:rPr>
        <w:t>全面提升产品质量、工程质量、服务质量</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着力增强产业质量竞争力，</w:t>
      </w:r>
      <w:r>
        <w:rPr>
          <w:rFonts w:hint="default" w:ascii="Times New Roman" w:hAnsi="Times New Roman" w:eastAsia="仿宋_GB2312" w:cs="Times New Roman"/>
          <w:i w:val="0"/>
          <w:iCs w:val="0"/>
          <w:caps w:val="0"/>
          <w:color w:val="auto"/>
          <w:spacing w:val="0"/>
          <w:sz w:val="32"/>
          <w:szCs w:val="32"/>
          <w:shd w:val="clear" w:color="auto" w:fill="FFFFFF"/>
          <w:lang w:eastAsia="zh-CN"/>
        </w:rPr>
        <w:t>培育发展新质生产力，</w:t>
      </w:r>
      <w:r>
        <w:rPr>
          <w:rFonts w:hint="default" w:ascii="Times New Roman" w:hAnsi="Times New Roman" w:eastAsia="仿宋_GB2312" w:cs="Times New Roman"/>
          <w:i w:val="0"/>
          <w:iCs w:val="0"/>
          <w:caps w:val="0"/>
          <w:color w:val="auto"/>
          <w:spacing w:val="0"/>
          <w:sz w:val="32"/>
          <w:szCs w:val="32"/>
          <w:shd w:val="clear" w:color="auto" w:fill="FFFFFF"/>
        </w:rPr>
        <w:t>为全面建设社会主义现代化达州提供坚实的质量支撑。</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8" w:lineRule="exact"/>
        <w:ind w:firstLine="640" w:firstLineChars="200"/>
        <w:rPr>
          <w:rFonts w:hint="default" w:ascii="Times New Roman" w:hAnsi="Times New Roman" w:eastAsia="黑体" w:cs="Times New Roman"/>
          <w:b w:val="0"/>
          <w:bCs w:val="0"/>
          <w:color w:val="auto"/>
          <w:kern w:val="2"/>
          <w:sz w:val="32"/>
          <w:szCs w:val="32"/>
          <w:shd w:val="clear" w:color="auto" w:fill="auto"/>
          <w:lang w:eastAsia="zh-CN" w:bidi="ar-SA"/>
        </w:rPr>
      </w:pPr>
      <w:r>
        <w:rPr>
          <w:rStyle w:val="7"/>
          <w:rFonts w:hint="default" w:ascii="Times New Roman" w:hAnsi="Times New Roman" w:eastAsia="黑体" w:cs="Times New Roman"/>
          <w:b w:val="0"/>
          <w:bCs w:val="0"/>
          <w:color w:val="auto"/>
          <w:kern w:val="2"/>
          <w:sz w:val="32"/>
          <w:szCs w:val="32"/>
          <w:shd w:val="clear" w:color="auto" w:fill="auto"/>
          <w:lang w:eastAsia="zh-CN" w:bidi="ar-SA"/>
        </w:rPr>
        <w:t>二、主要目标</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8" w:lineRule="exact"/>
        <w:ind w:firstLine="640" w:firstLineChars="200"/>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到2027年，农产品质量安全例行监测合格率稳定在99.2%以上,食品安全评价性抽检合格率达到98％以上，制造业质量竞争力指数达到88以上，工程质量抽查合格率不断提高；争取天府质量奖</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实现零的突破</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，新培育“天府名品”3个以上、国省老字号5个以上；新建国家</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级</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产业计量测试中心</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和检验检测中心</w:t>
      </w:r>
      <w:r>
        <w:rPr>
          <w:rFonts w:hint="default" w:ascii="Times New Roman" w:hAnsi="Times New Roman" w:eastAsia="仿宋_GB2312" w:cs="Times New Roman"/>
          <w:i w:val="0"/>
          <w:iCs w:val="0"/>
          <w:caps w:val="0"/>
          <w:color w:val="auto"/>
          <w:spacing w:val="0"/>
          <w:kern w:val="0"/>
          <w:sz w:val="32"/>
          <w:szCs w:val="32"/>
          <w:shd w:val="clear" w:color="auto" w:fill="FFFFFF"/>
          <w:lang w:val="en" w:eastAsia="zh-CN" w:bidi="ar"/>
        </w:rPr>
        <w:t>3</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家，主导或参与制定国家标准、行业标准</w:t>
      </w:r>
      <w:r>
        <w:rPr>
          <w:rFonts w:hint="default" w:ascii="Times New Roman" w:hAnsi="Times New Roman" w:eastAsia="仿宋_GB2312" w:cs="Times New Roman"/>
          <w:i w:val="0"/>
          <w:iCs w:val="0"/>
          <w:caps w:val="0"/>
          <w:color w:val="auto"/>
          <w:spacing w:val="0"/>
          <w:kern w:val="0"/>
          <w:sz w:val="32"/>
          <w:szCs w:val="32"/>
          <w:shd w:val="clear" w:color="auto" w:fill="FFFFFF"/>
          <w:lang w:val="en" w:eastAsia="zh-CN" w:bidi="ar"/>
        </w:rPr>
        <w:t>8</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项以上；新培育省级质量强县</w:t>
      </w:r>
      <w:r>
        <w:rPr>
          <w:rFonts w:hint="default" w:ascii="Times New Roman" w:hAnsi="Times New Roman" w:eastAsia="仿宋_GB2312" w:cs="Times New Roman"/>
          <w:i w:val="0"/>
          <w:iCs w:val="0"/>
          <w:caps w:val="0"/>
          <w:color w:val="auto"/>
          <w:spacing w:val="0"/>
          <w:kern w:val="0"/>
          <w:sz w:val="32"/>
          <w:szCs w:val="32"/>
          <w:shd w:val="clear" w:color="auto" w:fill="FFFFFF"/>
          <w:lang w:val="en" w:eastAsia="zh-CN" w:bidi="ar"/>
        </w:rPr>
        <w:t>2-3</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个；新增质量管理能力达到检验级以上企业6家，</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争创质量强国领军企业</w:t>
      </w:r>
      <w:r>
        <w:rPr>
          <w:rFonts w:hint="default" w:ascii="Times New Roman" w:hAnsi="Times New Roman" w:eastAsia="仿宋_GB2312" w:cs="Times New Roman"/>
          <w:i w:val="0"/>
          <w:iCs w:val="0"/>
          <w:caps w:val="0"/>
          <w:color w:val="auto"/>
          <w:spacing w:val="0"/>
          <w:kern w:val="0"/>
          <w:sz w:val="32"/>
          <w:szCs w:val="32"/>
          <w:shd w:val="clear" w:color="auto" w:fill="FFFFFF"/>
          <w:lang w:val="en" w:eastAsia="zh-CN" w:bidi="ar"/>
        </w:rPr>
        <w:t>1</w:t>
      </w:r>
      <w:r>
        <w:rPr>
          <w:rFonts w:hint="eastAsia" w:ascii="Times New Roman" w:hAnsi="Times New Roman" w:eastAsia="仿宋_GB2312" w:cs="Times New Roman"/>
          <w:i w:val="0"/>
          <w:iCs w:val="0"/>
          <w:caps w:val="0"/>
          <w:color w:val="auto"/>
          <w:spacing w:val="0"/>
          <w:kern w:val="0"/>
          <w:sz w:val="32"/>
          <w:szCs w:val="32"/>
          <w:shd w:val="clear" w:color="auto" w:fill="FFFFFF"/>
          <w:lang w:val="en" w:eastAsia="zh-CN" w:bidi="ar"/>
        </w:rPr>
        <w:t>家、</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质量强省建设领军企业2家以上</w:t>
      </w:r>
      <w:r>
        <w:rPr>
          <w:rFonts w:hint="default" w:ascii="Times New Roman" w:hAnsi="Times New Roman" w:eastAsia="仿宋_GB2312" w:cs="Times New Roman"/>
          <w:i w:val="0"/>
          <w:iCs w:val="0"/>
          <w:caps w:val="0"/>
          <w:color w:val="auto"/>
          <w:spacing w:val="0"/>
          <w:kern w:val="0"/>
          <w:sz w:val="32"/>
          <w:szCs w:val="32"/>
          <w:shd w:val="clear" w:color="auto" w:fill="FFFFFF"/>
          <w:lang w:val="en" w:eastAsia="zh-CN" w:bidi="ar"/>
        </w:rPr>
        <w:t>;</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新培育国家优质工程奖1项、鲁班奖1项、四川省工业质量标杆5家以上。</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通过三年攻坚建设</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，质量支撑、标准引领和牵引功能更加突出，质量品牌建设取得更大进展，先进质量文化蔚然成风，质量竞争力走在全省前列。</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8" w:lineRule="exact"/>
        <w:ind w:firstLine="640" w:firstLineChars="200"/>
        <w:rPr>
          <w:rFonts w:hint="default" w:ascii="Times New Roman" w:hAnsi="Times New Roman" w:eastAsia="黑体" w:cs="Times New Roman"/>
          <w:i w:val="0"/>
          <w:iCs w:val="0"/>
          <w:caps w:val="0"/>
          <w:color w:val="auto"/>
          <w:spacing w:val="0"/>
          <w:kern w:val="2"/>
          <w:sz w:val="32"/>
          <w:szCs w:val="32"/>
          <w:shd w:val="clear" w:color="auto" w:fill="auto"/>
          <w:lang w:val="en-US" w:eastAsia="zh-CN" w:bidi="ar-SA"/>
        </w:rPr>
      </w:pPr>
      <w:r>
        <w:rPr>
          <w:rFonts w:hint="default" w:ascii="Times New Roman" w:hAnsi="Times New Roman" w:eastAsia="黑体" w:cs="Times New Roman"/>
          <w:i w:val="0"/>
          <w:iCs w:val="0"/>
          <w:caps w:val="0"/>
          <w:color w:val="auto"/>
          <w:spacing w:val="0"/>
          <w:kern w:val="2"/>
          <w:sz w:val="32"/>
          <w:szCs w:val="32"/>
          <w:shd w:val="clear" w:color="auto" w:fill="auto"/>
          <w:lang w:val="en-US" w:eastAsia="zh-CN" w:bidi="ar-SA"/>
        </w:rPr>
        <w:t>三、重点任务</w:t>
      </w:r>
    </w:p>
    <w:p>
      <w:pPr>
        <w:pStyle w:val="8"/>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楷体_GB2312" w:cs="Times New Roman"/>
          <w:b w:val="0"/>
          <w:bCs w:val="0"/>
          <w:color w:val="auto"/>
          <w:kern w:val="0"/>
          <w:sz w:val="32"/>
          <w:szCs w:val="32"/>
          <w:lang w:val="en-US" w:eastAsia="zh-CN" w:bidi="ar"/>
        </w:rPr>
      </w:pPr>
      <w:r>
        <w:rPr>
          <w:rFonts w:hint="default" w:hAnsi="Times New Roman" w:eastAsia="楷体_GB2312" w:cs="Times New Roman"/>
          <w:b w:val="0"/>
          <w:bCs w:val="0"/>
          <w:color w:val="auto"/>
          <w:kern w:val="0"/>
          <w:sz w:val="32"/>
          <w:szCs w:val="32"/>
          <w:lang w:val="en-US" w:eastAsia="zh-CN" w:bidi="ar"/>
        </w:rPr>
        <w:t>（一）</w:t>
      </w:r>
      <w:r>
        <w:rPr>
          <w:rFonts w:hint="default" w:ascii="Times New Roman" w:hAnsi="Times New Roman" w:eastAsia="楷体_GB2312" w:cs="Times New Roman"/>
          <w:b w:val="0"/>
          <w:bCs w:val="0"/>
          <w:color w:val="auto"/>
          <w:kern w:val="0"/>
          <w:sz w:val="32"/>
          <w:szCs w:val="32"/>
          <w:lang w:val="en-US" w:eastAsia="zh-CN" w:bidi="ar"/>
        </w:rPr>
        <w:t>推进效益跃升，增强质量强市建设新动能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val="0"/>
          <w:bCs w:val="0"/>
          <w:snapToGrid/>
          <w:color w:val="auto"/>
          <w:kern w:val="0"/>
          <w:sz w:val="32"/>
          <w:szCs w:val="32"/>
          <w:lang w:val="en-US" w:eastAsia="zh-CN" w:bidi="ar"/>
        </w:rPr>
        <w:t>1.</w:t>
      </w:r>
      <w:r>
        <w:rPr>
          <w:rFonts w:hint="default" w:ascii="Times New Roman" w:hAnsi="Times New Roman" w:eastAsia="仿宋_GB2312" w:cs="Times New Roman"/>
          <w:b w:val="0"/>
          <w:bCs w:val="0"/>
          <w:color w:val="auto"/>
          <w:kern w:val="0"/>
          <w:sz w:val="32"/>
          <w:szCs w:val="32"/>
          <w:lang w:eastAsia="zh-CN" w:bidi="ar"/>
        </w:rPr>
        <w:t>强化高质量发展创新驱动。</w:t>
      </w:r>
      <w:r>
        <w:rPr>
          <w:rFonts w:hint="default" w:ascii="Times New Roman" w:hAnsi="Times New Roman" w:eastAsia="仿宋_GB2312" w:cs="Times New Roman"/>
          <w:color w:val="auto"/>
          <w:kern w:val="0"/>
          <w:sz w:val="32"/>
          <w:szCs w:val="32"/>
          <w:lang w:val="en-US" w:eastAsia="zh-CN" w:bidi="ar"/>
        </w:rPr>
        <w:t>建立政产学研用深度融合的质量创新体系，协同开展质量领域技术、管理、制度创新。深入实施智改数转专项行动，推进数字技术与质量管理融合，推广质量管理数字化典型案例和优秀应用场景。开展重点行业和重点产品资源效率对标提升行动，推动</w:t>
      </w:r>
      <w:r>
        <w:rPr>
          <w:rFonts w:hint="default" w:ascii="Times New Roman" w:hAnsi="Times New Roman" w:eastAsia="仿宋_GB2312" w:cs="Times New Roman"/>
          <w:color w:val="auto"/>
          <w:kern w:val="0"/>
          <w:sz w:val="32"/>
          <w:szCs w:val="32"/>
          <w:lang w:bidi="ar"/>
        </w:rPr>
        <w:t>冶金</w:t>
      </w:r>
      <w:r>
        <w:rPr>
          <w:rFonts w:hint="default" w:ascii="Times New Roman" w:hAnsi="Times New Roman" w:eastAsia="仿宋_GB2312" w:cs="Times New Roman"/>
          <w:color w:val="auto"/>
          <w:kern w:val="0"/>
          <w:sz w:val="32"/>
          <w:szCs w:val="32"/>
          <w:lang w:val="en-US" w:eastAsia="zh-CN" w:bidi="ar"/>
        </w:rPr>
        <w:t>等高能耗行业低碳转型。大力发展循环经济，打造综合性固废循环产业示范园区。建立质量专业化服务体系，推进质量赋能专业技术机构建设，促进新质生产力发展。</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CESI仿宋-GB2312" w:cs="Times New Roman"/>
          <w:snapToGrid/>
          <w:color w:val="auto"/>
          <w:kern w:val="0"/>
          <w:sz w:val="32"/>
          <w:szCs w:val="32"/>
          <w:lang w:val="en-US" w:eastAsia="zh-CN" w:bidi="ar"/>
        </w:rPr>
      </w:pPr>
      <w:r>
        <w:rPr>
          <w:rFonts w:hint="default" w:ascii="Times New Roman" w:hAnsi="Times New Roman" w:eastAsia="CESI仿宋-GB2312" w:cs="Times New Roman"/>
          <w:b w:val="0"/>
          <w:bCs w:val="0"/>
          <w:snapToGrid/>
          <w:color w:val="auto"/>
          <w:kern w:val="0"/>
          <w:sz w:val="32"/>
          <w:szCs w:val="32"/>
          <w:lang w:val="en-US" w:eastAsia="zh-CN" w:bidi="ar"/>
        </w:rPr>
        <w:t>2.推进高质量发展区域协同。</w:t>
      </w:r>
      <w:r>
        <w:rPr>
          <w:rFonts w:hint="default" w:ascii="Times New Roman" w:hAnsi="Times New Roman" w:eastAsia="CESI仿宋-GB2312" w:cs="Times New Roman"/>
          <w:snapToGrid/>
          <w:color w:val="auto"/>
          <w:kern w:val="0"/>
          <w:sz w:val="32"/>
          <w:szCs w:val="32"/>
          <w:lang w:val="en-US" w:eastAsia="zh-CN" w:bidi="ar"/>
        </w:rPr>
        <w:t>开展“质量强县”建设，宣传推广质量强县先进质量管理经验，形成1-2个特色鲜明的县域质量发展典型和示范标杆。建立万达开、南达区域质量合作互助机制，推进万达开天然气锂钾集聚区、万达开市场一体化建设。开展万达开南区域先进材料、化工、轻纺、电子信息、汽车等产业链供应链质量联动提升行动，推动建立跨区域计量技术转移服务平台和标准认证认可信息平台。</w:t>
      </w:r>
      <w:r>
        <w:rPr>
          <w:rFonts w:hint="default" w:ascii="Times New Roman" w:hAnsi="Times New Roman" w:eastAsia="CESI仿宋-GB2312" w:cs="Times New Roman"/>
          <w:color w:val="auto"/>
          <w:kern w:val="0"/>
          <w:sz w:val="31"/>
          <w:szCs w:val="31"/>
          <w:lang w:val="en-US" w:eastAsia="zh-CN" w:bidi="ar"/>
        </w:rPr>
        <w:t>深化万达开川渝、川东北地区知识产权保护行政执法协作，加强重点地理标志、商标品牌、高价值专利的保护力度。</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default" w:ascii="Times New Roman" w:hAnsi="Times New Roman" w:eastAsia="CESI仿宋-GB2312" w:cs="Times New Roman"/>
          <w:snapToGrid/>
          <w:color w:val="auto"/>
          <w:kern w:val="0"/>
          <w:sz w:val="32"/>
          <w:szCs w:val="32"/>
          <w:lang w:val="en-US" w:eastAsia="zh-CN" w:bidi="ar"/>
        </w:rPr>
      </w:pPr>
      <w:r>
        <w:rPr>
          <w:rFonts w:hint="default" w:ascii="Times New Roman" w:hAnsi="Times New Roman" w:eastAsia="CESI仿宋-GB2312" w:cs="Times New Roman"/>
          <w:b w:val="0"/>
          <w:bCs w:val="0"/>
          <w:snapToGrid/>
          <w:color w:val="auto"/>
          <w:kern w:val="0"/>
          <w:sz w:val="32"/>
          <w:szCs w:val="32"/>
          <w:lang w:val="en-US" w:eastAsia="zh-CN" w:bidi="ar"/>
        </w:rPr>
        <w:t>3.突出高质量发展普惠利民。</w:t>
      </w:r>
      <w:r>
        <w:rPr>
          <w:rFonts w:hint="default" w:ascii="Times New Roman" w:hAnsi="Times New Roman" w:eastAsia="CESI仿宋-GB2312" w:cs="Times New Roman"/>
          <w:snapToGrid/>
          <w:color w:val="auto"/>
          <w:kern w:val="0"/>
          <w:sz w:val="32"/>
          <w:szCs w:val="32"/>
          <w:lang w:val="en-US" w:eastAsia="zh-CN" w:bidi="ar"/>
        </w:rPr>
        <w:t>开展质量惠民行动，推动健康、医疗、养老、育幼、家居等消费提质扩容，推动互联网和各类消费业态深度融合。实施设备更新、消费品以旧换新、回收循环利用、标准提升“四大行动”，推动更多高质量耐用消费品进入居民生活。</w:t>
      </w:r>
      <w:r>
        <w:rPr>
          <w:rFonts w:hint="default" w:ascii="Times New Roman" w:hAnsi="Times New Roman" w:eastAsia="CESI仿宋-GB2312" w:cs="Times New Roman"/>
          <w:b w:val="0"/>
          <w:bCs w:val="0"/>
          <w:color w:val="auto"/>
          <w:kern w:val="0"/>
          <w:sz w:val="32"/>
          <w:szCs w:val="32"/>
          <w:lang w:val="en-US" w:eastAsia="zh-CN" w:bidi="ar"/>
        </w:rPr>
        <w:t>开展放心舒心消费环境建设，推行消费投诉信息公示制度，培育放心舒心消费基础单元，引导经营者主动承诺线下购物无理由退货、赔偿先付</w:t>
      </w:r>
      <w:r>
        <w:rPr>
          <w:rFonts w:hint="default" w:ascii="Times New Roman" w:hAnsi="Times New Roman" w:eastAsia="CESI仿宋-GB2312" w:cs="Times New Roman"/>
          <w:snapToGrid/>
          <w:color w:val="auto"/>
          <w:kern w:val="0"/>
          <w:sz w:val="32"/>
          <w:szCs w:val="32"/>
          <w:lang w:val="en-US" w:eastAsia="zh-CN" w:bidi="ar"/>
        </w:rPr>
        <w:t>。依法从严查处质量违法行为，让人民群众买得放心、吃得安心、用得舒心。</w:t>
      </w:r>
    </w:p>
    <w:p>
      <w:pPr>
        <w:pStyle w:val="8"/>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楷体_GB2312" w:cs="Times New Roman"/>
          <w:b w:val="0"/>
          <w:bCs w:val="0"/>
          <w:color w:val="auto"/>
          <w:kern w:val="0"/>
          <w:sz w:val="32"/>
          <w:szCs w:val="32"/>
          <w:lang w:val="en-US" w:eastAsia="zh-CN" w:bidi="ar"/>
        </w:rPr>
      </w:pPr>
      <w:r>
        <w:rPr>
          <w:rFonts w:hint="default" w:ascii="Times New Roman" w:hAnsi="Times New Roman" w:eastAsia="楷体_GB2312" w:cs="Times New Roman"/>
          <w:b w:val="0"/>
          <w:bCs w:val="0"/>
          <w:color w:val="auto"/>
          <w:kern w:val="0"/>
          <w:sz w:val="32"/>
          <w:szCs w:val="32"/>
          <w:lang w:val="en-US" w:eastAsia="zh-CN" w:bidi="ar"/>
        </w:rPr>
        <w:t>（二）推进质量强链，打造产业质量发展新引擎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CESI仿宋-GB2312" w:cs="Times New Roman"/>
          <w:b w:val="0"/>
          <w:bCs w:val="0"/>
          <w:snapToGrid/>
          <w:color w:val="auto"/>
          <w:kern w:val="0"/>
          <w:sz w:val="32"/>
          <w:szCs w:val="32"/>
          <w:lang w:val="en-US" w:eastAsia="zh-CN" w:bidi="ar"/>
        </w:rPr>
      </w:pPr>
      <w:r>
        <w:rPr>
          <w:rFonts w:hint="default" w:ascii="Times New Roman" w:hAnsi="Times New Roman" w:eastAsia="CESI仿宋-GB2312" w:cs="Times New Roman"/>
          <w:b w:val="0"/>
          <w:bCs w:val="0"/>
          <w:snapToGrid/>
          <w:color w:val="auto"/>
          <w:kern w:val="0"/>
          <w:sz w:val="32"/>
          <w:szCs w:val="32"/>
          <w:lang w:val="en-US" w:eastAsia="zh-CN" w:bidi="ar"/>
        </w:rPr>
        <w:t>1.深化质量基础设施服务。围绕“四大资源”开发需求，整合全市检验检测资源，打造检验检测高能级服务平台；打通专业人才培育引进通道，推动检验检测机构参数扩项，参与关键技术攻关、标准研制等，形成检验检测区域竞争优势。加强检验检测机构监管，规范检验检测行为。支持产业计量公共服务平台建设和计量测试设备智能化升级改造，积极参与国家级服务业标准化试点，以标准链畅通产业链。实施质量基础设施能力提升行动，建立稳定的政府投入机制和灵活的市场参与机制。引导企业及技术机构推行应用“川质通”服务平台，深化拓展“万市兴”综合服务平台功能，健全完善专项服务团运行机制，为经营主体提供增值化、精准化、差异化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CESI仿宋-GB2312" w:cs="Times New Roman"/>
          <w:snapToGrid/>
          <w:color w:val="auto"/>
          <w:kern w:val="0"/>
          <w:sz w:val="32"/>
          <w:szCs w:val="32"/>
          <w:lang w:val="en-US" w:eastAsia="zh-CN" w:bidi="ar"/>
        </w:rPr>
      </w:pPr>
      <w:r>
        <w:rPr>
          <w:rFonts w:hint="default" w:ascii="Times New Roman" w:hAnsi="Times New Roman" w:eastAsia="CESI仿宋-GB2312" w:cs="Times New Roman"/>
          <w:b w:val="0"/>
          <w:bCs w:val="0"/>
          <w:snapToGrid/>
          <w:color w:val="auto"/>
          <w:kern w:val="0"/>
          <w:sz w:val="32"/>
          <w:szCs w:val="32"/>
          <w:lang w:val="en-US" w:eastAsia="zh-CN" w:bidi="ar"/>
        </w:rPr>
        <w:t>2.增强产业链质量竞争力。</w:t>
      </w:r>
      <w:r>
        <w:rPr>
          <w:rFonts w:hint="default" w:ascii="Times New Roman" w:hAnsi="Times New Roman" w:eastAsia="CESI仿宋-GB2312" w:cs="Times New Roman"/>
          <w:snapToGrid/>
          <w:color w:val="auto"/>
          <w:kern w:val="0"/>
          <w:sz w:val="32"/>
          <w:szCs w:val="32"/>
          <w:lang w:val="en-US" w:eastAsia="zh-CN" w:bidi="ar"/>
        </w:rPr>
        <w:t>推进“3+3”重点产业提质倍增行动计划，建立重点产业链培育清单，布局实施一批重大科技专项，开展一批共性、关键核心技术攻关。发挥新材料“链主”企业在技术、市场、标准、质量、品牌等方面的带动作用，建立链主引领、链员协同、基础支撑、技术赋能的质量提升模式。开展对标达标提升行动，以先进标准带动质量提升，推动钢铁、化工、建材、轻纺服饰、农林生物等传统产业链优化升级，加快人工智能、智能装备、新能源等新兴产业链延链补链强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CESI仿宋-GB2312" w:cs="Times New Roman"/>
          <w:i w:val="0"/>
          <w:iCs w:val="0"/>
          <w:caps w:val="0"/>
          <w:color w:val="auto"/>
          <w:spacing w:val="0"/>
          <w:sz w:val="32"/>
          <w:szCs w:val="32"/>
        </w:rPr>
      </w:pPr>
      <w:r>
        <w:rPr>
          <w:rFonts w:hint="default" w:ascii="Times New Roman" w:hAnsi="Times New Roman" w:eastAsia="CESI仿宋-GB2312" w:cs="Times New Roman"/>
          <w:b w:val="0"/>
          <w:bCs w:val="0"/>
          <w:snapToGrid/>
          <w:color w:val="auto"/>
          <w:kern w:val="0"/>
          <w:sz w:val="32"/>
          <w:szCs w:val="32"/>
          <w:lang w:val="en-US" w:eastAsia="zh-CN" w:bidi="ar"/>
        </w:rPr>
        <w:t>3.培育质量卓越产业集群。</w:t>
      </w:r>
      <w:r>
        <w:rPr>
          <w:rFonts w:hint="default" w:ascii="Times New Roman" w:hAnsi="Times New Roman" w:eastAsia="CESI仿宋-GB2312" w:cs="Times New Roman"/>
          <w:snapToGrid/>
          <w:color w:val="auto"/>
          <w:kern w:val="0"/>
          <w:sz w:val="32"/>
          <w:szCs w:val="32"/>
          <w:lang w:val="en-US" w:eastAsia="zh-CN" w:bidi="ar"/>
        </w:rPr>
        <w:t>聚焦“双园驱动、多点支撑”发展战略，实施产业园区提档升级工程，优化产业园区要素配置，加强研发设计、认证认可、检验检测、试验验证等公共服务平台建设，实现质量管理协同和质量资源共享。引导园区企业加强产品耦合和产能合作，积极融入区域产业链、供应链、创新链和价值链。聚焦天然气锂钾优势资源，加强先进性技术运用、质量创新、质量基础设施升级，推动万达开天然气锂钾</w:t>
      </w:r>
      <w:r>
        <w:rPr>
          <w:rFonts w:hint="default" w:ascii="Times New Roman" w:hAnsi="Times New Roman" w:eastAsia="CESI仿宋-GB2312" w:cs="Times New Roman"/>
          <w:color w:val="auto"/>
          <w:sz w:val="32"/>
          <w:szCs w:val="32"/>
        </w:rPr>
        <w:t>综合利用集聚区</w:t>
      </w:r>
      <w:r>
        <w:rPr>
          <w:rFonts w:hint="default" w:ascii="Times New Roman" w:hAnsi="Times New Roman" w:eastAsia="CESI仿宋-GB2312" w:cs="Times New Roman"/>
          <w:snapToGrid/>
          <w:color w:val="auto"/>
          <w:kern w:val="0"/>
          <w:sz w:val="32"/>
          <w:szCs w:val="32"/>
          <w:lang w:val="en-US" w:eastAsia="zh-CN" w:bidi="ar"/>
        </w:rPr>
        <w:t>做大做强，培育形成技术质量优势突出、产业链融通发展的质量卓越产业集群。</w:t>
      </w:r>
    </w:p>
    <w:p>
      <w:pPr>
        <w:pStyle w:val="8"/>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楷体_GB2312" w:cs="Times New Roman"/>
          <w:b w:val="0"/>
          <w:bCs w:val="0"/>
          <w:color w:val="auto"/>
          <w:kern w:val="0"/>
          <w:sz w:val="32"/>
          <w:szCs w:val="32"/>
          <w:lang w:val="en-US" w:eastAsia="zh-CN" w:bidi="ar"/>
        </w:rPr>
      </w:pPr>
      <w:r>
        <w:rPr>
          <w:rFonts w:hint="default" w:ascii="Times New Roman" w:hAnsi="Times New Roman" w:eastAsia="楷体_GB2312" w:cs="Times New Roman"/>
          <w:b w:val="0"/>
          <w:bCs w:val="0"/>
          <w:color w:val="auto"/>
          <w:kern w:val="0"/>
          <w:sz w:val="32"/>
          <w:szCs w:val="32"/>
          <w:lang w:val="en-US" w:eastAsia="zh-CN" w:bidi="ar"/>
        </w:rPr>
        <w:t>（三）推进质量强企，激发企业质量管理新活力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CESI仿宋-GB2312" w:cs="Times New Roman"/>
          <w:snapToGrid/>
          <w:color w:val="auto"/>
          <w:kern w:val="0"/>
          <w:sz w:val="32"/>
          <w:szCs w:val="32"/>
          <w:lang w:val="en-US" w:eastAsia="zh-CN" w:bidi="ar"/>
        </w:rPr>
      </w:pPr>
      <w:r>
        <w:rPr>
          <w:rFonts w:hint="default" w:ascii="Times New Roman" w:hAnsi="Times New Roman" w:eastAsia="CESI仿宋-GB2312" w:cs="Times New Roman"/>
          <w:b w:val="0"/>
          <w:bCs w:val="0"/>
          <w:snapToGrid/>
          <w:color w:val="auto"/>
          <w:kern w:val="0"/>
          <w:sz w:val="32"/>
          <w:szCs w:val="32"/>
          <w:lang w:val="en-US" w:eastAsia="zh-CN" w:bidi="ar"/>
        </w:rPr>
        <w:t>1.压实企业质量主体责任。</w:t>
      </w:r>
      <w:r>
        <w:rPr>
          <w:rFonts w:hint="default" w:ascii="Times New Roman" w:hAnsi="Times New Roman" w:eastAsia="CESI仿宋-GB2312" w:cs="Times New Roman"/>
          <w:snapToGrid/>
          <w:color w:val="auto"/>
          <w:kern w:val="0"/>
          <w:sz w:val="32"/>
          <w:szCs w:val="32"/>
          <w:lang w:val="en-US" w:eastAsia="zh-CN" w:bidi="ar"/>
        </w:rPr>
        <w:t>引导企业坚持以质取胜发展，强化企业最高管理者质量意识，推动企业开展群众性质量活动，鼓励企业构建先进质量文化。大力弘扬工匠精神，推动企业与产业链上下游共建质量文化生态，树立和倡导精益求精、追求卓越的质量理念。督促企业严格履行质量首负责任、产品质量“三包”、工程质量终身责任、服务质量保障等制度，强化缺陷产品召回管理。加大首席质量官制度推行力度。全面贯彻落实工业产品生产、销售单位依法配备质量安全总监和质量安全员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CESI仿宋-GB2312" w:cs="Times New Roman"/>
          <w:i w:val="0"/>
          <w:iCs w:val="0"/>
          <w:caps w:val="0"/>
          <w:color w:val="auto"/>
          <w:spacing w:val="0"/>
          <w:sz w:val="32"/>
          <w:szCs w:val="32"/>
        </w:rPr>
      </w:pPr>
      <w:r>
        <w:rPr>
          <w:rFonts w:hint="default" w:ascii="Times New Roman" w:hAnsi="Times New Roman" w:eastAsia="CESI仿宋-GB2312" w:cs="Times New Roman"/>
          <w:b w:val="0"/>
          <w:bCs w:val="0"/>
          <w:snapToGrid/>
          <w:color w:val="auto"/>
          <w:kern w:val="0"/>
          <w:sz w:val="32"/>
          <w:szCs w:val="32"/>
          <w:lang w:val="en-US" w:eastAsia="zh-CN" w:bidi="ar"/>
        </w:rPr>
        <w:t>2.推动企业质量技术创新。</w:t>
      </w:r>
      <w:r>
        <w:rPr>
          <w:rFonts w:hint="default" w:ascii="Times New Roman" w:hAnsi="Times New Roman" w:eastAsia="CESI仿宋-GB2312" w:cs="Times New Roman"/>
          <w:snapToGrid/>
          <w:color w:val="auto"/>
          <w:kern w:val="0"/>
          <w:sz w:val="32"/>
          <w:szCs w:val="32"/>
          <w:lang w:val="en-US" w:eastAsia="zh-CN" w:bidi="ar"/>
        </w:rPr>
        <w:t>强化企业创新主体地位，鼓励企业联合高校、科研院所推进质量设计、试验检测、可靠性工程等先进质量技术的研发应用。完善“首台（套）、首批（次）、首版（次）”政策，实施一批新技术新产品新业态应用工程。开展“雏鹰—瞪羚—独角兽企业”梯度培育行动，推动技术专家帮扶中小微企业开展质量创新和技术攻关。深化“标准化+”行动，体系化推进标志性产业链标准化建设，支持“链主”企业、单项冠军企业、专精特新“小巨人”企业将企业标准向国家标准和国际标准转化。积极推进专利转移转化运用,指导企业做好高价值专利培育布局。加大政策支持力度，出台民营企业质量提升激励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CESI仿宋-GB2312" w:cs="Times New Roman"/>
          <w:snapToGrid/>
          <w:color w:val="auto"/>
          <w:kern w:val="0"/>
          <w:sz w:val="32"/>
          <w:szCs w:val="32"/>
          <w:lang w:val="en-US" w:eastAsia="zh-CN" w:bidi="ar"/>
        </w:rPr>
      </w:pPr>
      <w:r>
        <w:rPr>
          <w:rFonts w:hint="default" w:ascii="Times New Roman" w:hAnsi="Times New Roman" w:eastAsia="CESI仿宋-GB2312" w:cs="Times New Roman"/>
          <w:b w:val="0"/>
          <w:bCs w:val="0"/>
          <w:snapToGrid/>
          <w:color w:val="auto"/>
          <w:kern w:val="0"/>
          <w:sz w:val="32"/>
          <w:szCs w:val="32"/>
          <w:lang w:val="en-US" w:eastAsia="zh-CN" w:bidi="ar"/>
        </w:rPr>
        <w:t>3.培育壮大一批名企名品。</w:t>
      </w:r>
      <w:r>
        <w:rPr>
          <w:rFonts w:hint="default" w:ascii="Times New Roman" w:hAnsi="Times New Roman" w:eastAsia="CESI仿宋-GB2312" w:cs="Times New Roman"/>
          <w:snapToGrid/>
          <w:color w:val="auto"/>
          <w:kern w:val="0"/>
          <w:sz w:val="32"/>
          <w:szCs w:val="32"/>
          <w:lang w:val="en-US" w:eastAsia="zh-CN" w:bidi="ar"/>
        </w:rPr>
        <w:t>引导企业建立以质量为核心的品牌发展战略，支持企业争创驰名商标、天府质量奖、天府名品。加强中华老字号、四川老字号、达州老字号、地理标志产品和商标品牌的培育和保护。支持有条件的园区争创全国质量品牌提升示范区。加大区域品牌、产业品牌公益宣传力度，提升“巴山食荟”“巴山青”“巴山纤子”等农产品品牌知名度，强化巴山妹子等服务业品牌培育。</w:t>
      </w:r>
      <w:r>
        <w:rPr>
          <w:rFonts w:hint="default" w:ascii="Times New Roman" w:hAnsi="Times New Roman" w:eastAsia="CESI仿宋-GB2312" w:cs="Times New Roman"/>
          <w:i w:val="0"/>
          <w:iCs w:val="0"/>
          <w:caps w:val="0"/>
          <w:color w:val="auto"/>
          <w:spacing w:val="0"/>
          <w:sz w:val="32"/>
          <w:szCs w:val="32"/>
          <w:shd w:val="clear" w:color="auto" w:fill="FFFFFF"/>
          <w:lang w:val="en-US" w:eastAsia="zh-CN"/>
        </w:rPr>
        <w:t>加快形成一批拥有核心竞争力、高附加值和自主知识产权的知名品牌，不断扩大全市主导产业品牌的国内外市场份额，提升“达州制造”“达州建造”“达州服务”品牌影响力和竞争力。</w:t>
      </w:r>
    </w:p>
    <w:p>
      <w:pPr>
        <w:pStyle w:val="8"/>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楷体_GB2312" w:cs="Times New Roman"/>
          <w:b w:val="0"/>
          <w:bCs w:val="0"/>
          <w:color w:val="auto"/>
          <w:kern w:val="0"/>
          <w:sz w:val="32"/>
          <w:szCs w:val="32"/>
          <w:lang w:val="en-US" w:eastAsia="zh-CN" w:bidi="ar"/>
        </w:rPr>
      </w:pPr>
      <w:r>
        <w:rPr>
          <w:rFonts w:hint="default" w:ascii="Times New Roman" w:hAnsi="Times New Roman" w:eastAsia="楷体_GB2312" w:cs="Times New Roman"/>
          <w:b w:val="0"/>
          <w:bCs w:val="0"/>
          <w:color w:val="auto"/>
          <w:kern w:val="0"/>
          <w:sz w:val="32"/>
          <w:szCs w:val="32"/>
          <w:lang w:val="en-US" w:eastAsia="zh-CN" w:bidi="ar"/>
        </w:rPr>
        <w:t>（四）推进质量提升，培育优良品质供给新优势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CESI仿宋-GB2312" w:cs="Times New Roman"/>
          <w:snapToGrid/>
          <w:color w:val="auto"/>
          <w:kern w:val="0"/>
          <w:sz w:val="32"/>
          <w:szCs w:val="32"/>
          <w:lang w:val="en-US" w:eastAsia="zh-CN" w:bidi="ar"/>
        </w:rPr>
      </w:pPr>
      <w:r>
        <w:rPr>
          <w:rFonts w:hint="default" w:ascii="Times New Roman" w:hAnsi="Times New Roman" w:eastAsia="CESI仿宋-GB2312" w:cs="Times New Roman"/>
          <w:b w:val="0"/>
          <w:bCs w:val="0"/>
          <w:snapToGrid/>
          <w:color w:val="auto"/>
          <w:kern w:val="0"/>
          <w:sz w:val="32"/>
          <w:szCs w:val="32"/>
          <w:lang w:val="en-US" w:eastAsia="zh-CN" w:bidi="ar"/>
        </w:rPr>
        <w:t>1.促进产品质量提档升级。</w:t>
      </w:r>
      <w:r>
        <w:rPr>
          <w:rFonts w:hint="default" w:ascii="Times New Roman" w:hAnsi="Times New Roman" w:eastAsia="CESI仿宋-GB2312" w:cs="Times New Roman"/>
          <w:snapToGrid/>
          <w:color w:val="auto"/>
          <w:kern w:val="0"/>
          <w:sz w:val="32"/>
          <w:szCs w:val="32"/>
          <w:lang w:val="en-US" w:eastAsia="zh-CN" w:bidi="ar"/>
        </w:rPr>
        <w:t>加强优质农产品基地和现代农业全产业链标准化试点建设，擦亮达州农业金字招牌。严格落实食品安全“四个最严”要求，推进食品安全全领域全过程标准化治理，实行全主体、全品种、全链条监管，确保人民群众“舌尖上”的安全。全面强化药品现场检查和监督抽检，深入开展中药饮片专项整治，提升中医药产业发展。推动工业品质量迈向中高端，实施制造业“增品种、提品质、创品牌”行动。强化“一老一幼”等特殊群体的消费品供给，提高安全性、舒适性、便利性，促进适老适小产品制造升级。制定完善重点消费品质量安全监管目录。深入开展农村消费品质量安全守护提升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CESI仿宋-GB2312" w:cs="Times New Roman"/>
          <w:snapToGrid/>
          <w:color w:val="auto"/>
          <w:kern w:val="0"/>
          <w:sz w:val="32"/>
          <w:szCs w:val="32"/>
          <w:lang w:val="en-US" w:eastAsia="zh-CN" w:bidi="ar"/>
        </w:rPr>
      </w:pPr>
      <w:r>
        <w:rPr>
          <w:rFonts w:hint="default" w:ascii="Times New Roman" w:hAnsi="Times New Roman" w:eastAsia="CESI仿宋-GB2312" w:cs="Times New Roman"/>
          <w:b w:val="0"/>
          <w:bCs w:val="0"/>
          <w:snapToGrid/>
          <w:color w:val="auto"/>
          <w:kern w:val="0"/>
          <w:sz w:val="32"/>
          <w:szCs w:val="32"/>
          <w:lang w:val="en-US" w:eastAsia="zh-CN" w:bidi="ar"/>
        </w:rPr>
        <w:t>2.强化建筑工程质量保障。</w:t>
      </w:r>
      <w:r>
        <w:rPr>
          <w:rFonts w:hint="default" w:ascii="Times New Roman" w:hAnsi="Times New Roman" w:eastAsia="CESI仿宋-GB2312" w:cs="Times New Roman"/>
          <w:snapToGrid/>
          <w:color w:val="auto"/>
          <w:kern w:val="0"/>
          <w:sz w:val="32"/>
          <w:szCs w:val="32"/>
          <w:lang w:val="en-US" w:eastAsia="zh-CN" w:bidi="ar"/>
        </w:rPr>
        <w:t>全面落实房屋建筑和市政基础设施、交通、水利等工程建设单位质量首要责任和</w:t>
      </w:r>
      <w:r>
        <w:rPr>
          <w:rFonts w:hint="default" w:ascii="Times New Roman" w:hAnsi="Times New Roman" w:eastAsia="CESI仿宋-GB2312" w:cs="Times New Roman"/>
          <w:color w:val="auto"/>
          <w:sz w:val="32"/>
          <w:szCs w:val="32"/>
        </w:rPr>
        <w:t>勘察、设计、施工、监理单位主体责任</w:t>
      </w:r>
      <w:r>
        <w:rPr>
          <w:rFonts w:hint="default" w:ascii="Times New Roman" w:hAnsi="Times New Roman" w:eastAsia="CESI仿宋-GB2312" w:cs="Times New Roman"/>
          <w:snapToGrid/>
          <w:color w:val="auto"/>
          <w:kern w:val="0"/>
          <w:sz w:val="32"/>
          <w:szCs w:val="32"/>
          <w:lang w:val="en-US" w:eastAsia="zh-CN" w:bidi="ar"/>
        </w:rPr>
        <w:t>，支持具备条件的社会力量参与工程质量监督检查。强化新型绿色建材技术创新、成果应用、标准研制、认证评价，推动水泥、陶瓷、钢材等主要建材企业绿色转型；加强建材质量监管，落实建材生产、供应单位终身责任和使用单位质量责任，完善缺陷建材响应处理和质量追溯机制。大力发展绿色建筑、装配式建筑，打造成川渝合作装配式建筑示范产业园和万达开统筹发展装配式建筑示范产业园；大力提升建筑信息模型设计、智能施工、智能运维协同水平，创新开展工程建设工法研发，打造达州建造品质标杆。</w:t>
      </w:r>
    </w:p>
    <w:p>
      <w:pPr>
        <w:widowControl/>
        <w:pBdr>
          <w:top w:val="none" w:color="auto" w:sz="0" w:space="0"/>
          <w:left w:val="none" w:color="auto" w:sz="0" w:space="0"/>
          <w:bottom w:val="none" w:color="auto" w:sz="0" w:space="0"/>
          <w:right w:val="none" w:color="auto" w:sz="0" w:space="0"/>
        </w:pBdr>
        <w:shd w:val="clear" w:color="auto" w:fill="FFFFFF"/>
        <w:spacing w:line="578" w:lineRule="exact"/>
        <w:ind w:firstLine="640" w:firstLineChars="200"/>
        <w:jc w:val="left"/>
        <w:rPr>
          <w:rFonts w:hint="default" w:ascii="Times New Roman" w:hAnsi="Times New Roman" w:eastAsia="CESI仿宋-GB2312" w:cs="Times New Roman"/>
          <w:snapToGrid/>
          <w:color w:val="auto"/>
          <w:kern w:val="0"/>
          <w:sz w:val="32"/>
          <w:szCs w:val="32"/>
          <w:lang w:val="en-US" w:eastAsia="zh-CN" w:bidi="ar"/>
        </w:rPr>
      </w:pPr>
      <w:r>
        <w:rPr>
          <w:rFonts w:hint="default" w:ascii="Times New Roman" w:hAnsi="Times New Roman" w:eastAsia="CESI仿宋-GB2312" w:cs="Times New Roman"/>
          <w:b w:val="0"/>
          <w:bCs w:val="0"/>
          <w:snapToGrid/>
          <w:color w:val="auto"/>
          <w:kern w:val="0"/>
          <w:sz w:val="32"/>
          <w:szCs w:val="32"/>
          <w:lang w:val="en-US" w:eastAsia="zh-CN" w:bidi="ar"/>
        </w:rPr>
        <w:t>3.扩大优质服务有效供给。</w:t>
      </w:r>
      <w:r>
        <w:rPr>
          <w:rFonts w:hint="default" w:ascii="Times New Roman" w:hAnsi="Times New Roman" w:eastAsia="CESI仿宋-GB2312" w:cs="Times New Roman"/>
          <w:snapToGrid/>
          <w:color w:val="auto"/>
          <w:kern w:val="0"/>
          <w:sz w:val="32"/>
          <w:szCs w:val="32"/>
          <w:lang w:val="en-US" w:eastAsia="zh-CN" w:bidi="ar"/>
        </w:rPr>
        <w:t>支持科技信息、检验检测、质量咨询、知识产权等生产性服务与研发设计、生产制造、运维一体化发展，开展先进制造业和现代服务业融合发展试点。积极发展绿色金融、科创金融。</w:t>
      </w:r>
      <w:r>
        <w:rPr>
          <w:rFonts w:hint="default" w:ascii="Times New Roman" w:hAnsi="Times New Roman" w:eastAsia="CESI仿宋-GB2312" w:cs="Times New Roman"/>
          <w:color w:val="auto"/>
          <w:kern w:val="0"/>
          <w:sz w:val="31"/>
          <w:szCs w:val="31"/>
          <w:lang w:val="en-US" w:eastAsia="zh-CN" w:bidi="ar"/>
        </w:rPr>
        <w:t>建立完善知识产权质押融资政策体系，支持利用专利、商标融资，力争每年度登记额1亿元以上。加大涉农金融服务供给，支持引导有条件的企业上市融资。</w:t>
      </w:r>
      <w:r>
        <w:rPr>
          <w:rFonts w:hint="default" w:ascii="Times New Roman" w:hAnsi="Times New Roman" w:eastAsia="CESI仿宋-GB2312" w:cs="Times New Roman"/>
          <w:color w:val="auto"/>
          <w:kern w:val="0"/>
          <w:sz w:val="32"/>
          <w:szCs w:val="32"/>
          <w:lang w:val="en-US" w:eastAsia="zh-CN" w:bidi="ar"/>
        </w:rPr>
        <w:t>大力发展冷链物流，实施多式联运示范工程，构建绿色货运配送体系，</w:t>
      </w:r>
      <w:r>
        <w:rPr>
          <w:rFonts w:hint="default" w:ascii="Times New Roman" w:hAnsi="Times New Roman" w:eastAsia="CESI仿宋-GB2312" w:cs="Times New Roman"/>
          <w:color w:val="auto"/>
          <w:kern w:val="0"/>
          <w:sz w:val="32"/>
          <w:szCs w:val="32"/>
          <w:lang w:bidi="ar"/>
        </w:rPr>
        <w:t>高水平建设东出北上国际陆港枢纽</w:t>
      </w:r>
      <w:r>
        <w:rPr>
          <w:rFonts w:hint="default" w:ascii="Times New Roman" w:hAnsi="Times New Roman" w:eastAsia="CESI仿宋-GB2312" w:cs="Times New Roman"/>
          <w:snapToGrid/>
          <w:color w:val="auto"/>
          <w:kern w:val="0"/>
          <w:sz w:val="32"/>
          <w:szCs w:val="32"/>
          <w:lang w:val="en-US" w:eastAsia="zh-CN" w:bidi="ar"/>
        </w:rPr>
        <w:t>。高标准打造旅游精品项目、精品线路，</w:t>
      </w:r>
      <w:r>
        <w:rPr>
          <w:rFonts w:hint="default" w:ascii="Times New Roman" w:hAnsi="Times New Roman" w:eastAsia="CESI仿宋-GB2312" w:cs="Times New Roman"/>
          <w:color w:val="auto"/>
          <w:kern w:val="0"/>
          <w:sz w:val="32"/>
          <w:szCs w:val="32"/>
          <w:lang w:bidi="ar"/>
        </w:rPr>
        <w:t>加快建成“行在大三峡、游在大巴山、醉在大氧吧”文化旅游中心</w:t>
      </w:r>
      <w:r>
        <w:rPr>
          <w:rFonts w:hint="default" w:ascii="Times New Roman" w:hAnsi="Times New Roman" w:eastAsia="CESI仿宋-GB2312" w:cs="Times New Roman"/>
          <w:color w:val="auto"/>
          <w:kern w:val="0"/>
          <w:sz w:val="32"/>
          <w:szCs w:val="32"/>
          <w:lang w:eastAsia="zh-CN" w:bidi="ar"/>
        </w:rPr>
        <w:t>，</w:t>
      </w:r>
      <w:r>
        <w:rPr>
          <w:rFonts w:hint="default" w:ascii="Times New Roman" w:hAnsi="Times New Roman" w:eastAsia="CESI仿宋-GB2312" w:cs="Times New Roman"/>
          <w:color w:val="auto"/>
          <w:kern w:val="0"/>
          <w:sz w:val="32"/>
          <w:szCs w:val="32"/>
          <w:lang w:bidi="ar"/>
        </w:rPr>
        <w:t>不断扩大“巴风賨韵·水墨达州”和“大三峡·大巴山”文旅品牌影响力</w:t>
      </w:r>
      <w:r>
        <w:rPr>
          <w:rFonts w:hint="default" w:ascii="Times New Roman" w:hAnsi="Times New Roman" w:eastAsia="CESI仿宋-GB2312" w:cs="Times New Roman"/>
          <w:snapToGrid/>
          <w:color w:val="auto"/>
          <w:kern w:val="0"/>
          <w:sz w:val="32"/>
          <w:szCs w:val="32"/>
          <w:lang w:val="en-US" w:eastAsia="zh-CN" w:bidi="ar"/>
        </w:rPr>
        <w:t>。完善养老服务质量标准与评价体系，扩大日间照料、失能照护、助餐助行等养老服务有效供给，优化孤寡老人服务。推进基本公共教育优质均衡发展，提高职业教育质量。推动建立重点领域设施设备、数据处理、信息交换等软硬件标准体系，提升公共服务智慧化管理水平。</w:t>
      </w:r>
    </w:p>
    <w:p>
      <w:pPr>
        <w:pStyle w:val="8"/>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楷体_GB2312" w:cs="Times New Roman"/>
          <w:b w:val="0"/>
          <w:bCs w:val="0"/>
          <w:color w:val="auto"/>
          <w:kern w:val="0"/>
          <w:sz w:val="32"/>
          <w:szCs w:val="32"/>
          <w:lang w:val="en-US" w:eastAsia="zh-CN" w:bidi="ar"/>
        </w:rPr>
      </w:pPr>
      <w:r>
        <w:rPr>
          <w:rFonts w:hint="default" w:ascii="Times New Roman" w:hAnsi="Times New Roman" w:eastAsia="楷体_GB2312" w:cs="Times New Roman"/>
          <w:b w:val="0"/>
          <w:bCs w:val="0"/>
          <w:color w:val="auto"/>
          <w:kern w:val="0"/>
          <w:sz w:val="32"/>
          <w:szCs w:val="32"/>
          <w:lang w:val="en-US" w:eastAsia="zh-CN" w:bidi="ar"/>
        </w:rPr>
        <w:t>（</w:t>
      </w:r>
      <w:r>
        <w:rPr>
          <w:rFonts w:hint="eastAsia" w:hAnsi="Times New Roman" w:eastAsia="楷体_GB2312" w:cs="Times New Roman"/>
          <w:b w:val="0"/>
          <w:bCs w:val="0"/>
          <w:color w:val="auto"/>
          <w:kern w:val="0"/>
          <w:sz w:val="32"/>
          <w:szCs w:val="32"/>
          <w:lang w:val="en-US" w:eastAsia="zh-CN" w:bidi="ar"/>
        </w:rPr>
        <w:t>五</w:t>
      </w:r>
      <w:r>
        <w:rPr>
          <w:rFonts w:hint="default" w:ascii="Times New Roman" w:hAnsi="Times New Roman" w:eastAsia="楷体_GB2312" w:cs="Times New Roman"/>
          <w:b w:val="0"/>
          <w:bCs w:val="0"/>
          <w:color w:val="auto"/>
          <w:kern w:val="0"/>
          <w:sz w:val="32"/>
          <w:szCs w:val="32"/>
          <w:lang w:val="en-US" w:eastAsia="zh-CN" w:bidi="ar"/>
        </w:rPr>
        <w:t>）推进共治共管，推动质量治理迈向新高度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CESI仿宋-GB2312" w:cs="Times New Roman"/>
          <w:snapToGrid/>
          <w:color w:val="auto"/>
          <w:kern w:val="0"/>
          <w:sz w:val="32"/>
          <w:szCs w:val="32"/>
          <w:lang w:val="en-US" w:eastAsia="zh-CN" w:bidi="ar"/>
        </w:rPr>
      </w:pPr>
      <w:r>
        <w:rPr>
          <w:rFonts w:hint="default" w:ascii="Times New Roman" w:hAnsi="Times New Roman" w:eastAsia="CESI仿宋-GB2312" w:cs="Times New Roman"/>
          <w:b w:val="0"/>
          <w:bCs w:val="0"/>
          <w:snapToGrid/>
          <w:color w:val="auto"/>
          <w:kern w:val="0"/>
          <w:sz w:val="32"/>
          <w:szCs w:val="32"/>
          <w:lang w:val="en-US" w:eastAsia="zh-CN" w:bidi="ar"/>
        </w:rPr>
        <w:t>1.深化质量法治建设。</w:t>
      </w:r>
      <w:r>
        <w:rPr>
          <w:rFonts w:hint="default" w:ascii="Times New Roman" w:hAnsi="Times New Roman" w:eastAsia="CESI仿宋-GB2312" w:cs="Times New Roman"/>
          <w:snapToGrid/>
          <w:color w:val="auto"/>
          <w:kern w:val="0"/>
          <w:sz w:val="32"/>
          <w:szCs w:val="32"/>
          <w:lang w:val="en-US" w:eastAsia="zh-CN" w:bidi="ar"/>
        </w:rPr>
        <w:t>加强质量法治宣传教育。深化行政执法与刑事司法衔接，明确涉食药知行业场所特征，探索建立基层市场监管所和派出所食药知联动机制，严厉打击质量领域违法违规等行为。支持开展质量公益诉讼和集体诉讼，有效执行商品质量惩罚性赔偿制度，推行第三方质量争议仲裁，健全质量保证金制度，推行消费争议先行赔付。完善质量激励机制，健全质量品牌、质量标准、质量提升等方面的奖励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CESI仿宋-GB2312" w:cs="Times New Roman"/>
          <w:snapToGrid/>
          <w:color w:val="auto"/>
          <w:kern w:val="0"/>
          <w:sz w:val="32"/>
          <w:szCs w:val="32"/>
          <w:lang w:val="en-US" w:eastAsia="zh-CN" w:bidi="ar"/>
        </w:rPr>
      </w:pPr>
      <w:r>
        <w:rPr>
          <w:rFonts w:hint="default" w:ascii="Times New Roman" w:hAnsi="Times New Roman" w:eastAsia="CESI仿宋-GB2312" w:cs="Times New Roman"/>
          <w:b w:val="0"/>
          <w:bCs w:val="0"/>
          <w:snapToGrid/>
          <w:color w:val="auto"/>
          <w:kern w:val="0"/>
          <w:sz w:val="32"/>
          <w:szCs w:val="32"/>
          <w:lang w:val="en-US" w:eastAsia="zh-CN" w:bidi="ar"/>
        </w:rPr>
        <w:t>2.细化质量政策供给。</w:t>
      </w:r>
      <w:r>
        <w:rPr>
          <w:rFonts w:hint="default" w:ascii="Times New Roman" w:hAnsi="Times New Roman" w:eastAsia="CESI仿宋-GB2312" w:cs="Times New Roman"/>
          <w:snapToGrid/>
          <w:color w:val="auto"/>
          <w:kern w:val="0"/>
          <w:sz w:val="32"/>
          <w:szCs w:val="32"/>
          <w:lang w:val="en-US" w:eastAsia="zh-CN" w:bidi="ar"/>
        </w:rPr>
        <w:t>建立完善“质量贷”等质量融资增信体系，深化科技成果“先用后转”模式，建立产学研合作和科技成果转化失败后的风险补偿机制。推动财政资金支持形成的非涉密科技成果向企业开放，落实企业研发费用加计扣除、高新技术企业所得税减免、基础研究投入税收优惠、先进制造业企业增值税加计抵减等政策。引导企业落实质量披露制度，探索质量专业技术技能人才职业培训和职称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CESI仿宋-GB2312" w:cs="Times New Roman"/>
          <w:i w:val="0"/>
          <w:iCs w:val="0"/>
          <w:caps w:val="0"/>
          <w:color w:val="auto"/>
          <w:spacing w:val="0"/>
          <w:sz w:val="32"/>
          <w:szCs w:val="32"/>
        </w:rPr>
      </w:pPr>
      <w:r>
        <w:rPr>
          <w:rFonts w:hint="default" w:ascii="Times New Roman" w:hAnsi="Times New Roman" w:eastAsia="CESI仿宋-GB2312" w:cs="Times New Roman"/>
          <w:b w:val="0"/>
          <w:bCs w:val="0"/>
          <w:snapToGrid/>
          <w:color w:val="auto"/>
          <w:kern w:val="0"/>
          <w:sz w:val="32"/>
          <w:szCs w:val="32"/>
          <w:lang w:val="en-US" w:eastAsia="zh-CN" w:bidi="ar"/>
        </w:rPr>
        <w:t>3.优化质量监督效率。</w:t>
      </w:r>
      <w:r>
        <w:rPr>
          <w:rFonts w:hint="default" w:ascii="Times New Roman" w:hAnsi="Times New Roman" w:eastAsia="CESI仿宋-GB2312" w:cs="Times New Roman"/>
          <w:snapToGrid/>
          <w:color w:val="auto"/>
          <w:kern w:val="0"/>
          <w:sz w:val="32"/>
          <w:szCs w:val="32"/>
          <w:lang w:val="en-US" w:eastAsia="zh-CN" w:bidi="ar"/>
        </w:rPr>
        <w:t>推进企业信用监管、智慧监管与“双随机、一公开”监管等深度融合，加强市场智慧监管系统建设。加强市场秩序综合治理，开展质量分级分类监管，推进质量失信记分和评价。加大《公平竞争审查条例》的贯彻落实，营造公平竞争的市场环境。加大对城乡结合部、农村等重点区域假冒伪劣的打击力度。深化网络交易经营者合规管理，建立健全上下联动、区域协同、部门协作的网络交易监管机制，推进线上线下一体化监管。探索开展质量安全“沙盒监管”，为企业创新提供容错纠错空间。支持企业加强品牌保护和维权，依法严厉打击品牌仿冒、商标侵权等违法行为。</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方正黑体_GBK" w:hAnsi="方正黑体_GBK" w:eastAsia="方正黑体_GBK" w:cs="方正黑体_GBK"/>
          <w:color w:val="auto"/>
          <w:sz w:val="32"/>
          <w:szCs w:val="32"/>
          <w:shd w:val="clear" w:color="auto" w:fill="FFFFFF"/>
          <w:lang w:eastAsia="zh-CN"/>
        </w:rPr>
      </w:pPr>
      <w:r>
        <w:rPr>
          <w:rFonts w:hint="eastAsia" w:ascii="方正黑体_GBK" w:hAnsi="方正黑体_GBK" w:eastAsia="方正黑体_GBK" w:cs="方正黑体_GBK"/>
          <w:color w:val="auto"/>
          <w:sz w:val="32"/>
          <w:szCs w:val="32"/>
          <w:shd w:val="clear" w:color="auto" w:fill="FFFFFF"/>
          <w:lang w:eastAsia="zh-CN"/>
        </w:rPr>
        <w:t>四、保障措施</w:t>
      </w:r>
    </w:p>
    <w:p>
      <w:r>
        <w:rPr>
          <w:rFonts w:hint="default" w:ascii="Times New Roman" w:hAnsi="Times New Roman" w:eastAsia="仿宋_GB2312" w:cs="Times New Roman"/>
          <w:color w:val="auto"/>
          <w:sz w:val="32"/>
          <w:szCs w:val="32"/>
          <w:shd w:val="clear" w:color="auto" w:fill="FFFFFF"/>
        </w:rPr>
        <w:t>各级党委、政府要将质量工作列入重要议事日程,</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结合实际促进产业、财政、金融、科技、贸易、环境、人才等方面政策与质量政策协同。要将质量管理相关工作经费纳入财政预算，完善质量强市建设经费多元筹集和保障机制。要深化质量工作考核,将考核结果纳入各级党政领导班子和领导干部政绩考核内容，推动各项任务落地落实。</w:t>
      </w:r>
      <w:r>
        <w:rPr>
          <w:rFonts w:hint="default" w:ascii="Times New Roman" w:hAnsi="Times New Roman" w:eastAsia="仿宋_GB2312" w:cs="Times New Roman"/>
          <w:i w:val="0"/>
          <w:iCs w:val="0"/>
          <w:caps w:val="0"/>
          <w:color w:val="auto"/>
          <w:spacing w:val="0"/>
          <w:sz w:val="32"/>
          <w:szCs w:val="32"/>
          <w:shd w:val="clear" w:color="auto" w:fill="FFFFFF"/>
          <w:lang w:eastAsia="zh-CN"/>
        </w:rPr>
        <w:t>市场监管部门要会同有关部门，健全完善工作协调机制，</w:t>
      </w:r>
      <w:r>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
        </w:rPr>
        <w:t>定期</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开展分析研判、调度评估，</w:t>
      </w:r>
      <w:r>
        <w:rPr>
          <w:rFonts w:hint="default" w:ascii="Times New Roman" w:hAnsi="Times New Roman" w:eastAsia="仿宋_GB2312" w:cs="Times New Roman"/>
          <w:i w:val="0"/>
          <w:iCs w:val="0"/>
          <w:caps w:val="0"/>
          <w:color w:val="auto"/>
          <w:spacing w:val="0"/>
          <w:sz w:val="32"/>
          <w:szCs w:val="32"/>
          <w:shd w:val="clear" w:color="auto" w:fill="FFFFFF"/>
          <w:lang w:eastAsia="zh-CN"/>
        </w:rPr>
        <w:t>统筹协调推进质量强市建设重大事项。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A00002BF" w:usb1="38CF7CFA" w:usb2="00082016" w:usb3="00000000" w:csb0="00040001" w:csb1="00000000"/>
  </w:font>
  <w:font w:name="汉鼎简大宋">
    <w:altName w:val="方正书宋_GBK"/>
    <w:panose1 w:val="0201060901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auto"/>
    <w:pitch w:val="default"/>
    <w:sig w:usb0="00000000" w:usb1="00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DA0BF"/>
    <w:rsid w:val="5FCDA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styleId="3">
    <w:name w:val="Body Text"/>
    <w:basedOn w:val="1"/>
    <w:next w:val="2"/>
    <w:qFormat/>
    <w:uiPriority w:val="0"/>
    <w:pPr>
      <w:autoSpaceDE/>
      <w:autoSpaceDN/>
      <w:snapToGrid/>
      <w:spacing w:line="240" w:lineRule="auto"/>
      <w:ind w:firstLine="0"/>
      <w:jc w:val="center"/>
    </w:pPr>
    <w:rPr>
      <w:rFonts w:ascii="Times New Roman" w:eastAsia="汉鼎简大宋"/>
      <w:snapToGrid/>
      <w:kern w:val="2"/>
      <w:sz w:val="44"/>
      <w:szCs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正文首行缩进1"/>
    <w:basedOn w:val="3"/>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2024-10-11T16:46:00Z</dcterms:created>
  <dc:creator>lntimate</dc:creator>
  <cp:lastModifiedBy>lntimate</cp:lastModifiedBy>
  <dcterms:modified xsi:type="dcterms:W3CDTF">2024-10-11T16:48:11Z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