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85737">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达州市磷酸盐产品质量市级监督抽查实施细则</w:t>
      </w:r>
    </w:p>
    <w:p w14:paraId="3CB6F975">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w:t>
      </w:r>
      <w:r>
        <w:rPr>
          <w:rFonts w:ascii="方正小标宋简体" w:hAnsi="黑体" w:eastAsia="方正小标宋简体" w:cs="黑体"/>
          <w:snapToGrid w:val="0"/>
          <w:color w:val="000000"/>
          <w:spacing w:val="8"/>
          <w:kern w:val="0"/>
          <w:sz w:val="36"/>
          <w:szCs w:val="36"/>
        </w:rPr>
        <w:t>202</w:t>
      </w:r>
      <w:r>
        <w:rPr>
          <w:rFonts w:hint="eastAsia" w:ascii="方正小标宋简体" w:hAnsi="黑体" w:eastAsia="方正小标宋简体" w:cs="黑体"/>
          <w:snapToGrid w:val="0"/>
          <w:color w:val="000000"/>
          <w:spacing w:val="8"/>
          <w:kern w:val="0"/>
          <w:sz w:val="36"/>
          <w:szCs w:val="36"/>
        </w:rPr>
        <w:t>6版）</w:t>
      </w:r>
      <w:bookmarkStart w:id="0" w:name="_GoBack"/>
      <w:bookmarkEnd w:id="0"/>
    </w:p>
    <w:p w14:paraId="3E6F7741">
      <w:pPr>
        <w:rPr>
          <w:rFonts w:ascii="黑体" w:hAnsi="黑体" w:eastAsia="黑体" w:cs="Times New Roman"/>
          <w:szCs w:val="21"/>
        </w:rPr>
      </w:pPr>
    </w:p>
    <w:p w14:paraId="2A41ADE0">
      <w:pPr>
        <w:rPr>
          <w:rFonts w:ascii="黑体" w:hAnsi="黑体" w:eastAsia="黑体" w:cs="Times New Roman"/>
          <w:szCs w:val="21"/>
        </w:rPr>
      </w:pPr>
      <w:r>
        <w:rPr>
          <w:rFonts w:hint="eastAsia" w:ascii="黑体" w:hAnsi="黑体" w:eastAsia="黑体" w:cs="Times New Roman"/>
          <w:szCs w:val="21"/>
        </w:rPr>
        <w:t>1 抽样方法</w:t>
      </w:r>
    </w:p>
    <w:p w14:paraId="51970974">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以随机抽样的方式在被抽样生产者、销售者的待销产品中抽取。</w:t>
      </w:r>
    </w:p>
    <w:p w14:paraId="6E896B82">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抽查样品基数满足抽样数量即可。</w:t>
      </w:r>
    </w:p>
    <w:p w14:paraId="00B88F60">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随机数一般可使用随机数表、骰子或扑克牌等方法产生。</w:t>
      </w:r>
    </w:p>
    <w:p w14:paraId="403D4D3B">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将样品缩分至约1kg，再缩分成两份，分装于2个洁净、干燥的塑料瓶中。1瓶作为检验样品，另1瓶作为备用样品。</w:t>
      </w:r>
    </w:p>
    <w:p w14:paraId="55689F33">
      <w:pPr>
        <w:autoSpaceDE w:val="0"/>
        <w:autoSpaceDN w:val="0"/>
        <w:adjustRightInd w:val="0"/>
        <w:ind w:firstLine="420" w:firstLineChars="200"/>
        <w:jc w:val="left"/>
      </w:pPr>
    </w:p>
    <w:p w14:paraId="6B4E016A">
      <w:pPr>
        <w:widowControl/>
        <w:kinsoku w:val="0"/>
        <w:autoSpaceDE w:val="0"/>
        <w:autoSpaceDN w:val="0"/>
        <w:adjustRightInd w:val="0"/>
        <w:snapToGrid w:val="0"/>
        <w:jc w:val="left"/>
        <w:textAlignment w:val="baseline"/>
        <w:rPr>
          <w:rFonts w:ascii="黑体" w:hAnsi="黑体" w:eastAsia="黑体" w:cs="黑体"/>
          <w:snapToGrid w:val="0"/>
          <w:color w:val="000000"/>
          <w:spacing w:val="6"/>
          <w:kern w:val="0"/>
          <w:szCs w:val="21"/>
        </w:rPr>
      </w:pPr>
      <w:r>
        <w:rPr>
          <w:rFonts w:ascii="黑体" w:hAnsi="黑体" w:eastAsia="黑体" w:cs="黑体"/>
          <w:snapToGrid w:val="0"/>
          <w:color w:val="000000"/>
          <w:spacing w:val="6"/>
          <w:kern w:val="0"/>
          <w:szCs w:val="21"/>
        </w:rPr>
        <w:t xml:space="preserve">2 </w:t>
      </w:r>
      <w:r>
        <w:rPr>
          <w:rFonts w:hint="eastAsia" w:ascii="黑体" w:hAnsi="黑体" w:eastAsia="黑体" w:cs="黑体"/>
          <w:snapToGrid w:val="0"/>
          <w:color w:val="000000"/>
          <w:spacing w:val="6"/>
          <w:kern w:val="0"/>
          <w:szCs w:val="21"/>
        </w:rPr>
        <w:t>检验依据</w:t>
      </w:r>
    </w:p>
    <w:p w14:paraId="1758025E">
      <w:pPr>
        <w:jc w:val="center"/>
        <w:rPr>
          <w:rFonts w:ascii="黑体" w:hAnsi="黑体" w:eastAsia="黑体" w:cs="黑体"/>
          <w:szCs w:val="24"/>
        </w:rPr>
      </w:pPr>
      <w:r>
        <w:rPr>
          <w:rFonts w:hint="eastAsia" w:ascii="黑体" w:hAnsi="黑体" w:eastAsia="黑体" w:cs="黑体"/>
          <w:szCs w:val="24"/>
        </w:rPr>
        <w:t>表</w:t>
      </w:r>
      <w:r>
        <w:rPr>
          <w:rFonts w:ascii="黑体" w:hAnsi="黑体" w:eastAsia="黑体" w:cs="黑体"/>
          <w:szCs w:val="24"/>
        </w:rPr>
        <w:t>1</w:t>
      </w:r>
      <w:r>
        <w:rPr>
          <w:rFonts w:hint="eastAsia" w:ascii="黑体" w:hAnsi="黑体" w:eastAsia="黑体" w:cs="黑体"/>
          <w:szCs w:val="24"/>
        </w:rPr>
        <w:t xml:space="preserve"> 磷酸二铵</w:t>
      </w:r>
    </w:p>
    <w:tbl>
      <w:tblPr>
        <w:tblStyle w:val="6"/>
        <w:tblW w:w="8595" w:type="dxa"/>
        <w:tblInd w:w="15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09"/>
        <w:gridCol w:w="4253"/>
        <w:gridCol w:w="3633"/>
      </w:tblGrid>
      <w:tr w14:paraId="4AD1D5B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709" w:type="dxa"/>
            <w:vAlign w:val="center"/>
          </w:tcPr>
          <w:p w14:paraId="7F997324">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序号</w:t>
            </w:r>
          </w:p>
        </w:tc>
        <w:tc>
          <w:tcPr>
            <w:tcW w:w="4253" w:type="dxa"/>
            <w:vAlign w:val="center"/>
          </w:tcPr>
          <w:p w14:paraId="20DE23F7">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检验项目</w:t>
            </w:r>
          </w:p>
        </w:tc>
        <w:tc>
          <w:tcPr>
            <w:tcW w:w="3633" w:type="dxa"/>
            <w:vAlign w:val="center"/>
          </w:tcPr>
          <w:p w14:paraId="629C0689">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检验方法</w:t>
            </w:r>
          </w:p>
        </w:tc>
      </w:tr>
      <w:tr w14:paraId="35F9AF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709" w:type="dxa"/>
            <w:vAlign w:val="center"/>
          </w:tcPr>
          <w:p w14:paraId="7B596F6C">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1</w:t>
            </w:r>
          </w:p>
        </w:tc>
        <w:tc>
          <w:tcPr>
            <w:tcW w:w="4253" w:type="dxa"/>
            <w:vAlign w:val="center"/>
          </w:tcPr>
          <w:p w14:paraId="001817E8">
            <w:pPr>
              <w:jc w:val="center"/>
              <w:rPr>
                <w:rFonts w:cs="宋体" w:asciiTheme="minorEastAsia" w:hAnsiTheme="minorEastAsia"/>
                <w:szCs w:val="21"/>
              </w:rPr>
            </w:pPr>
            <w:r>
              <w:rPr>
                <w:rFonts w:hint="eastAsia" w:asciiTheme="minorEastAsia" w:hAnsiTheme="minorEastAsia"/>
                <w:szCs w:val="21"/>
              </w:rPr>
              <w:t>外观</w:t>
            </w:r>
          </w:p>
        </w:tc>
        <w:tc>
          <w:tcPr>
            <w:tcW w:w="3633" w:type="dxa"/>
            <w:vAlign w:val="center"/>
          </w:tcPr>
          <w:p w14:paraId="3D49762F">
            <w:pPr>
              <w:jc w:val="center"/>
              <w:rPr>
                <w:rFonts w:cs="宋体" w:asciiTheme="minorEastAsia" w:hAnsiTheme="minorEastAsia"/>
                <w:szCs w:val="21"/>
              </w:rPr>
            </w:pPr>
            <w:r>
              <w:rPr>
                <w:rFonts w:hint="eastAsia" w:asciiTheme="minorEastAsia" w:hAnsiTheme="minorEastAsia"/>
                <w:szCs w:val="21"/>
              </w:rPr>
              <w:t>GB/T 10205-2009</w:t>
            </w:r>
          </w:p>
        </w:tc>
      </w:tr>
      <w:tr w14:paraId="4397444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709" w:type="dxa"/>
            <w:vAlign w:val="center"/>
          </w:tcPr>
          <w:p w14:paraId="77771E70">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2</w:t>
            </w:r>
          </w:p>
        </w:tc>
        <w:tc>
          <w:tcPr>
            <w:tcW w:w="4253" w:type="dxa"/>
            <w:vAlign w:val="center"/>
          </w:tcPr>
          <w:p w14:paraId="1275F342">
            <w:pPr>
              <w:jc w:val="center"/>
              <w:rPr>
                <w:rFonts w:cs="宋体" w:asciiTheme="minorEastAsia" w:hAnsiTheme="minorEastAsia"/>
                <w:szCs w:val="21"/>
              </w:rPr>
            </w:pPr>
            <w:r>
              <w:rPr>
                <w:rFonts w:hint="eastAsia" w:asciiTheme="minorEastAsia" w:hAnsiTheme="minorEastAsia"/>
                <w:szCs w:val="21"/>
              </w:rPr>
              <w:t>总养分（N+P</w:t>
            </w:r>
            <w:r>
              <w:rPr>
                <w:rFonts w:hint="eastAsia" w:asciiTheme="minorEastAsia" w:hAnsiTheme="minorEastAsia"/>
                <w:szCs w:val="21"/>
                <w:vertAlign w:val="subscript"/>
              </w:rPr>
              <w:t>2</w:t>
            </w:r>
            <w:r>
              <w:rPr>
                <w:rFonts w:hint="eastAsia" w:asciiTheme="minorEastAsia" w:hAnsiTheme="minorEastAsia"/>
                <w:szCs w:val="21"/>
              </w:rPr>
              <w:t>O</w:t>
            </w:r>
            <w:r>
              <w:rPr>
                <w:rFonts w:hint="eastAsia" w:asciiTheme="minorEastAsia" w:hAnsiTheme="minorEastAsia"/>
                <w:szCs w:val="21"/>
                <w:vertAlign w:val="subscript"/>
              </w:rPr>
              <w:t>5</w:t>
            </w:r>
            <w:r>
              <w:rPr>
                <w:rFonts w:hint="eastAsia" w:asciiTheme="minorEastAsia" w:hAnsiTheme="minorEastAsia"/>
                <w:szCs w:val="21"/>
              </w:rPr>
              <w:t>）的质量分数</w:t>
            </w:r>
          </w:p>
        </w:tc>
        <w:tc>
          <w:tcPr>
            <w:tcW w:w="3633" w:type="dxa"/>
            <w:vAlign w:val="center"/>
          </w:tcPr>
          <w:p w14:paraId="3898795D">
            <w:pPr>
              <w:jc w:val="center"/>
              <w:rPr>
                <w:rFonts w:cs="宋体" w:asciiTheme="minorEastAsia" w:hAnsiTheme="minorEastAsia"/>
                <w:szCs w:val="21"/>
              </w:rPr>
            </w:pPr>
            <w:r>
              <w:rPr>
                <w:rFonts w:hint="eastAsia" w:asciiTheme="minorEastAsia" w:hAnsiTheme="minorEastAsia"/>
                <w:szCs w:val="21"/>
              </w:rPr>
              <w:t>GB/T 10205-2009</w:t>
            </w:r>
          </w:p>
        </w:tc>
      </w:tr>
      <w:tr w14:paraId="31DB85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709" w:type="dxa"/>
            <w:vAlign w:val="center"/>
          </w:tcPr>
          <w:p w14:paraId="2BA565BA">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3</w:t>
            </w:r>
          </w:p>
        </w:tc>
        <w:tc>
          <w:tcPr>
            <w:tcW w:w="4253" w:type="dxa"/>
            <w:vAlign w:val="center"/>
          </w:tcPr>
          <w:p w14:paraId="0256AF3F">
            <w:pPr>
              <w:jc w:val="center"/>
              <w:rPr>
                <w:rFonts w:cs="宋体" w:asciiTheme="minorEastAsia" w:hAnsiTheme="minorEastAsia"/>
                <w:szCs w:val="21"/>
              </w:rPr>
            </w:pPr>
            <w:r>
              <w:rPr>
                <w:rFonts w:hint="eastAsia" w:asciiTheme="minorEastAsia" w:hAnsiTheme="minorEastAsia"/>
                <w:szCs w:val="21"/>
              </w:rPr>
              <w:t>总氮（N）的质量分数</w:t>
            </w:r>
          </w:p>
        </w:tc>
        <w:tc>
          <w:tcPr>
            <w:tcW w:w="3633" w:type="dxa"/>
            <w:vAlign w:val="center"/>
          </w:tcPr>
          <w:p w14:paraId="169B43F2">
            <w:pPr>
              <w:jc w:val="center"/>
              <w:rPr>
                <w:rFonts w:cs="宋体" w:asciiTheme="minorEastAsia" w:hAnsiTheme="minorEastAsia"/>
                <w:szCs w:val="21"/>
              </w:rPr>
            </w:pPr>
            <w:r>
              <w:rPr>
                <w:rFonts w:hint="eastAsia" w:asciiTheme="minorEastAsia" w:hAnsiTheme="minorEastAsia"/>
                <w:szCs w:val="21"/>
              </w:rPr>
              <w:t>GB/T 10209.1-2008</w:t>
            </w:r>
          </w:p>
        </w:tc>
      </w:tr>
      <w:tr w14:paraId="4795919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709" w:type="dxa"/>
            <w:vAlign w:val="center"/>
          </w:tcPr>
          <w:p w14:paraId="443C50AF">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4</w:t>
            </w:r>
          </w:p>
        </w:tc>
        <w:tc>
          <w:tcPr>
            <w:tcW w:w="4253" w:type="dxa"/>
            <w:vAlign w:val="center"/>
          </w:tcPr>
          <w:p w14:paraId="690AADE0">
            <w:pPr>
              <w:jc w:val="center"/>
              <w:rPr>
                <w:rFonts w:cs="宋体" w:asciiTheme="minorEastAsia" w:hAnsiTheme="minorEastAsia"/>
                <w:szCs w:val="21"/>
              </w:rPr>
            </w:pPr>
            <w:r>
              <w:rPr>
                <w:rFonts w:hint="eastAsia" w:asciiTheme="minorEastAsia" w:hAnsiTheme="minorEastAsia"/>
                <w:szCs w:val="21"/>
              </w:rPr>
              <w:t>有效磷（P</w:t>
            </w:r>
            <w:r>
              <w:rPr>
                <w:rFonts w:hint="eastAsia" w:asciiTheme="minorEastAsia" w:hAnsiTheme="minorEastAsia"/>
                <w:szCs w:val="21"/>
                <w:vertAlign w:val="subscript"/>
              </w:rPr>
              <w:t>2</w:t>
            </w:r>
            <w:r>
              <w:rPr>
                <w:rFonts w:hint="eastAsia" w:asciiTheme="minorEastAsia" w:hAnsiTheme="minorEastAsia"/>
                <w:szCs w:val="21"/>
              </w:rPr>
              <w:t>O</w:t>
            </w:r>
            <w:r>
              <w:rPr>
                <w:rFonts w:hint="eastAsia" w:asciiTheme="minorEastAsia" w:hAnsiTheme="minorEastAsia"/>
                <w:szCs w:val="21"/>
                <w:vertAlign w:val="subscript"/>
              </w:rPr>
              <w:t>5</w:t>
            </w:r>
            <w:r>
              <w:rPr>
                <w:rFonts w:hint="eastAsia" w:asciiTheme="minorEastAsia" w:hAnsiTheme="minorEastAsia"/>
                <w:szCs w:val="21"/>
              </w:rPr>
              <w:t>）的质量分数</w:t>
            </w:r>
          </w:p>
        </w:tc>
        <w:tc>
          <w:tcPr>
            <w:tcW w:w="3633" w:type="dxa"/>
            <w:vAlign w:val="center"/>
          </w:tcPr>
          <w:p w14:paraId="5038B202">
            <w:pPr>
              <w:jc w:val="center"/>
              <w:rPr>
                <w:rFonts w:cs="宋体" w:asciiTheme="minorEastAsia" w:hAnsiTheme="minorEastAsia"/>
                <w:szCs w:val="21"/>
              </w:rPr>
            </w:pPr>
            <w:r>
              <w:rPr>
                <w:rFonts w:hint="eastAsia" w:asciiTheme="minorEastAsia" w:hAnsiTheme="minorEastAsia"/>
                <w:szCs w:val="21"/>
              </w:rPr>
              <w:t>GB/T 10209.2-2010</w:t>
            </w:r>
          </w:p>
        </w:tc>
      </w:tr>
      <w:tr w14:paraId="5044E4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709" w:type="dxa"/>
            <w:vAlign w:val="center"/>
          </w:tcPr>
          <w:p w14:paraId="6D2B8E44">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5</w:t>
            </w:r>
          </w:p>
        </w:tc>
        <w:tc>
          <w:tcPr>
            <w:tcW w:w="4253" w:type="dxa"/>
            <w:vAlign w:val="center"/>
          </w:tcPr>
          <w:p w14:paraId="2B4EF520">
            <w:pPr>
              <w:jc w:val="center"/>
              <w:rPr>
                <w:rFonts w:cs="宋体" w:asciiTheme="minorEastAsia" w:hAnsiTheme="minorEastAsia"/>
                <w:szCs w:val="21"/>
              </w:rPr>
            </w:pPr>
            <w:r>
              <w:rPr>
                <w:rFonts w:hint="eastAsia" w:asciiTheme="minorEastAsia" w:hAnsiTheme="minorEastAsia"/>
                <w:szCs w:val="21"/>
              </w:rPr>
              <w:t>水溶性磷占有效磷百分率</w:t>
            </w:r>
          </w:p>
        </w:tc>
        <w:tc>
          <w:tcPr>
            <w:tcW w:w="3633" w:type="dxa"/>
            <w:vAlign w:val="center"/>
          </w:tcPr>
          <w:p w14:paraId="5257722B">
            <w:pPr>
              <w:jc w:val="center"/>
              <w:rPr>
                <w:rFonts w:cs="宋体" w:asciiTheme="minorEastAsia" w:hAnsiTheme="minorEastAsia"/>
                <w:szCs w:val="21"/>
              </w:rPr>
            </w:pPr>
            <w:r>
              <w:rPr>
                <w:rFonts w:hint="eastAsia" w:asciiTheme="minorEastAsia" w:hAnsiTheme="minorEastAsia"/>
                <w:szCs w:val="21"/>
              </w:rPr>
              <w:t>GB/T 10209.2-2010</w:t>
            </w:r>
          </w:p>
        </w:tc>
      </w:tr>
      <w:tr w14:paraId="492A6FB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709" w:type="dxa"/>
            <w:vAlign w:val="center"/>
          </w:tcPr>
          <w:p w14:paraId="7C938769">
            <w:pPr>
              <w:jc w:val="center"/>
              <w:rPr>
                <w:rFonts w:asciiTheme="minorEastAsia" w:hAnsiTheme="minorEastAsia"/>
                <w:szCs w:val="21"/>
              </w:rPr>
            </w:pPr>
            <w:r>
              <w:rPr>
                <w:rFonts w:cs="宋体" w:asciiTheme="minorEastAsia" w:hAnsiTheme="minorEastAsia"/>
                <w:kern w:val="0"/>
                <w:szCs w:val="21"/>
              </w:rPr>
              <w:t>6</w:t>
            </w:r>
          </w:p>
        </w:tc>
        <w:tc>
          <w:tcPr>
            <w:tcW w:w="4253" w:type="dxa"/>
            <w:vAlign w:val="center"/>
          </w:tcPr>
          <w:p w14:paraId="74E3B5D4">
            <w:pPr>
              <w:jc w:val="center"/>
              <w:rPr>
                <w:rFonts w:cs="宋体" w:asciiTheme="minorEastAsia" w:hAnsiTheme="minorEastAsia"/>
                <w:szCs w:val="21"/>
              </w:rPr>
            </w:pPr>
            <w:r>
              <w:rPr>
                <w:rFonts w:hint="eastAsia" w:asciiTheme="minorEastAsia" w:hAnsiTheme="minorEastAsia"/>
                <w:szCs w:val="21"/>
              </w:rPr>
              <w:t>水分（H</w:t>
            </w:r>
            <w:r>
              <w:rPr>
                <w:rFonts w:hint="eastAsia" w:asciiTheme="minorEastAsia" w:hAnsiTheme="minorEastAsia"/>
                <w:szCs w:val="21"/>
                <w:vertAlign w:val="subscript"/>
              </w:rPr>
              <w:t>2</w:t>
            </w:r>
            <w:r>
              <w:rPr>
                <w:rFonts w:hint="eastAsia" w:asciiTheme="minorEastAsia" w:hAnsiTheme="minorEastAsia"/>
                <w:szCs w:val="21"/>
              </w:rPr>
              <w:t>O）的质量分数</w:t>
            </w:r>
          </w:p>
        </w:tc>
        <w:tc>
          <w:tcPr>
            <w:tcW w:w="3633" w:type="dxa"/>
            <w:vAlign w:val="center"/>
          </w:tcPr>
          <w:p w14:paraId="66C3470E">
            <w:pPr>
              <w:jc w:val="center"/>
              <w:rPr>
                <w:rFonts w:cs="宋体" w:asciiTheme="minorEastAsia" w:hAnsiTheme="minorEastAsia"/>
                <w:szCs w:val="21"/>
              </w:rPr>
            </w:pPr>
            <w:r>
              <w:rPr>
                <w:rFonts w:hint="eastAsia" w:asciiTheme="minorEastAsia" w:hAnsiTheme="minorEastAsia"/>
                <w:szCs w:val="21"/>
              </w:rPr>
              <w:t>GB/T 10209.3-2010</w:t>
            </w:r>
          </w:p>
        </w:tc>
      </w:tr>
    </w:tbl>
    <w:p w14:paraId="413F77F4">
      <w:pPr>
        <w:spacing w:beforeLines="50"/>
        <w:jc w:val="center"/>
        <w:rPr>
          <w:rFonts w:ascii="黑体" w:hAnsi="黑体" w:eastAsia="黑体" w:cs="黑体"/>
          <w:szCs w:val="24"/>
        </w:rPr>
      </w:pPr>
      <w:r>
        <w:rPr>
          <w:rFonts w:hint="eastAsia" w:ascii="黑体" w:hAnsi="黑体" w:eastAsia="黑体" w:cs="黑体"/>
          <w:szCs w:val="24"/>
        </w:rPr>
        <w:t>表2 肥料级磷酸二氢钾</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75"/>
        <w:gridCol w:w="4253"/>
        <w:gridCol w:w="3594"/>
      </w:tblGrid>
      <w:tr w14:paraId="5D8C537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12F2939A">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序号</w:t>
            </w:r>
          </w:p>
        </w:tc>
        <w:tc>
          <w:tcPr>
            <w:tcW w:w="4253" w:type="dxa"/>
            <w:vAlign w:val="center"/>
          </w:tcPr>
          <w:p w14:paraId="763DDBC9">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检验项目</w:t>
            </w:r>
          </w:p>
        </w:tc>
        <w:tc>
          <w:tcPr>
            <w:tcW w:w="3594" w:type="dxa"/>
            <w:vAlign w:val="center"/>
          </w:tcPr>
          <w:p w14:paraId="358BE281">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检验方法</w:t>
            </w:r>
          </w:p>
        </w:tc>
      </w:tr>
      <w:tr w14:paraId="4FC5E25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5303C3CB">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1</w:t>
            </w:r>
          </w:p>
        </w:tc>
        <w:tc>
          <w:tcPr>
            <w:tcW w:w="4253" w:type="dxa"/>
            <w:vAlign w:val="center"/>
          </w:tcPr>
          <w:p w14:paraId="6A376C5F">
            <w:pPr>
              <w:jc w:val="center"/>
              <w:rPr>
                <w:rFonts w:ascii="宋体" w:hAnsi="宋体" w:eastAsia="宋体" w:cs="宋体"/>
                <w:szCs w:val="21"/>
              </w:rPr>
            </w:pPr>
            <w:r>
              <w:rPr>
                <w:rFonts w:hint="eastAsia" w:ascii="宋体" w:hAnsi="宋体" w:eastAsia="宋体"/>
                <w:szCs w:val="21"/>
              </w:rPr>
              <w:t>外观</w:t>
            </w:r>
          </w:p>
        </w:tc>
        <w:tc>
          <w:tcPr>
            <w:tcW w:w="3594" w:type="dxa"/>
            <w:vAlign w:val="center"/>
          </w:tcPr>
          <w:p w14:paraId="0CA27EC0">
            <w:pPr>
              <w:jc w:val="center"/>
              <w:rPr>
                <w:rFonts w:ascii="宋体" w:hAnsi="宋体" w:eastAsia="宋体" w:cs="宋体"/>
                <w:szCs w:val="21"/>
              </w:rPr>
            </w:pPr>
            <w:r>
              <w:rPr>
                <w:rFonts w:hint="eastAsia" w:ascii="宋体" w:hAnsi="宋体" w:eastAsia="宋体"/>
                <w:szCs w:val="21"/>
              </w:rPr>
              <w:t>HG/T 2321-2016</w:t>
            </w:r>
          </w:p>
        </w:tc>
      </w:tr>
      <w:tr w14:paraId="2915F7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3FA5B247">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2</w:t>
            </w:r>
          </w:p>
        </w:tc>
        <w:tc>
          <w:tcPr>
            <w:tcW w:w="4253" w:type="dxa"/>
            <w:vAlign w:val="center"/>
          </w:tcPr>
          <w:p w14:paraId="6C8AE4F1">
            <w:pPr>
              <w:jc w:val="center"/>
              <w:rPr>
                <w:rFonts w:ascii="宋体" w:hAnsi="宋体" w:eastAsia="宋体" w:cs="宋体"/>
                <w:szCs w:val="21"/>
              </w:rPr>
            </w:pPr>
            <w:r>
              <w:rPr>
                <w:rFonts w:hint="eastAsia" w:ascii="宋体" w:hAnsi="宋体" w:eastAsia="宋体"/>
                <w:szCs w:val="21"/>
              </w:rPr>
              <w:t>磷酸二氢钾（KH</w:t>
            </w:r>
            <w:r>
              <w:rPr>
                <w:rFonts w:hint="eastAsia" w:ascii="宋体" w:hAnsi="宋体" w:eastAsia="宋体"/>
                <w:szCs w:val="21"/>
                <w:vertAlign w:val="subscript"/>
              </w:rPr>
              <w:t>2</w:t>
            </w:r>
            <w:r>
              <w:rPr>
                <w:rFonts w:hint="eastAsia" w:ascii="宋体" w:hAnsi="宋体" w:eastAsia="宋体"/>
                <w:szCs w:val="21"/>
              </w:rPr>
              <w:t>PO</w:t>
            </w:r>
            <w:r>
              <w:rPr>
                <w:rFonts w:hint="eastAsia" w:ascii="宋体" w:hAnsi="宋体" w:eastAsia="宋体"/>
                <w:szCs w:val="21"/>
                <w:vertAlign w:val="subscript"/>
              </w:rPr>
              <w:t>4</w:t>
            </w:r>
            <w:r>
              <w:rPr>
                <w:rFonts w:hint="eastAsia" w:ascii="宋体" w:hAnsi="宋体" w:eastAsia="宋体"/>
                <w:szCs w:val="21"/>
              </w:rPr>
              <w:t>）的质量分数</w:t>
            </w:r>
          </w:p>
        </w:tc>
        <w:tc>
          <w:tcPr>
            <w:tcW w:w="3594" w:type="dxa"/>
            <w:vAlign w:val="center"/>
          </w:tcPr>
          <w:p w14:paraId="604C8F33">
            <w:pPr>
              <w:jc w:val="center"/>
              <w:rPr>
                <w:rFonts w:ascii="宋体" w:hAnsi="宋体" w:eastAsia="宋体" w:cs="宋体"/>
                <w:szCs w:val="21"/>
              </w:rPr>
            </w:pPr>
            <w:r>
              <w:rPr>
                <w:rFonts w:hint="eastAsia" w:ascii="宋体" w:hAnsi="宋体" w:eastAsia="宋体"/>
                <w:szCs w:val="21"/>
              </w:rPr>
              <w:t>HG/T 2321-2016</w:t>
            </w:r>
          </w:p>
        </w:tc>
      </w:tr>
      <w:tr w14:paraId="3CD70B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6A08E87C">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3</w:t>
            </w:r>
          </w:p>
        </w:tc>
        <w:tc>
          <w:tcPr>
            <w:tcW w:w="4253" w:type="dxa"/>
            <w:vAlign w:val="center"/>
          </w:tcPr>
          <w:p w14:paraId="18DA80EA">
            <w:pPr>
              <w:jc w:val="center"/>
              <w:rPr>
                <w:rFonts w:ascii="宋体" w:hAnsi="宋体" w:eastAsia="宋体" w:cs="宋体"/>
                <w:szCs w:val="21"/>
              </w:rPr>
            </w:pPr>
            <w:r>
              <w:rPr>
                <w:rFonts w:hint="eastAsia" w:ascii="宋体" w:hAnsi="宋体" w:eastAsia="宋体"/>
                <w:szCs w:val="21"/>
              </w:rPr>
              <w:t>水溶性五氧化二磷（P</w:t>
            </w:r>
            <w:r>
              <w:rPr>
                <w:rFonts w:hint="eastAsia" w:ascii="宋体" w:hAnsi="宋体" w:eastAsia="宋体"/>
                <w:szCs w:val="21"/>
                <w:vertAlign w:val="subscript"/>
              </w:rPr>
              <w:t>2</w:t>
            </w:r>
            <w:r>
              <w:rPr>
                <w:rFonts w:hint="eastAsia" w:ascii="宋体" w:hAnsi="宋体" w:eastAsia="宋体"/>
                <w:szCs w:val="21"/>
              </w:rPr>
              <w:t>O</w:t>
            </w:r>
            <w:r>
              <w:rPr>
                <w:rFonts w:hint="eastAsia" w:ascii="宋体" w:hAnsi="宋体" w:eastAsia="宋体"/>
                <w:szCs w:val="21"/>
                <w:vertAlign w:val="subscript"/>
              </w:rPr>
              <w:t>5</w:t>
            </w:r>
            <w:r>
              <w:rPr>
                <w:rFonts w:hint="eastAsia" w:ascii="宋体" w:hAnsi="宋体" w:eastAsia="宋体"/>
                <w:szCs w:val="21"/>
              </w:rPr>
              <w:t>）的质量分数</w:t>
            </w:r>
          </w:p>
        </w:tc>
        <w:tc>
          <w:tcPr>
            <w:tcW w:w="3594" w:type="dxa"/>
            <w:vAlign w:val="center"/>
          </w:tcPr>
          <w:p w14:paraId="69929CD0">
            <w:pPr>
              <w:jc w:val="center"/>
              <w:rPr>
                <w:rFonts w:ascii="宋体" w:hAnsi="宋体" w:eastAsia="宋体" w:cs="宋体"/>
                <w:szCs w:val="21"/>
              </w:rPr>
            </w:pPr>
            <w:r>
              <w:rPr>
                <w:rFonts w:hint="eastAsia" w:ascii="宋体" w:hAnsi="宋体" w:eastAsia="宋体"/>
                <w:szCs w:val="21"/>
              </w:rPr>
              <w:t>HG/T 2321-2016</w:t>
            </w:r>
          </w:p>
        </w:tc>
      </w:tr>
      <w:tr w14:paraId="3011FC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6923F17D">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4</w:t>
            </w:r>
          </w:p>
        </w:tc>
        <w:tc>
          <w:tcPr>
            <w:tcW w:w="4253" w:type="dxa"/>
            <w:vAlign w:val="center"/>
          </w:tcPr>
          <w:p w14:paraId="06723B23">
            <w:pPr>
              <w:jc w:val="center"/>
              <w:rPr>
                <w:rFonts w:ascii="宋体" w:hAnsi="宋体" w:eastAsia="宋体" w:cs="宋体"/>
                <w:szCs w:val="21"/>
              </w:rPr>
            </w:pPr>
            <w:r>
              <w:rPr>
                <w:rFonts w:hint="eastAsia" w:ascii="宋体" w:hAnsi="宋体" w:eastAsia="宋体"/>
                <w:szCs w:val="21"/>
              </w:rPr>
              <w:t>氧化钾（K</w:t>
            </w:r>
            <w:r>
              <w:rPr>
                <w:rFonts w:hint="eastAsia" w:ascii="宋体" w:hAnsi="宋体" w:eastAsia="宋体"/>
                <w:szCs w:val="21"/>
                <w:vertAlign w:val="subscript"/>
              </w:rPr>
              <w:t>2</w:t>
            </w:r>
            <w:r>
              <w:rPr>
                <w:rFonts w:hint="eastAsia" w:ascii="宋体" w:hAnsi="宋体" w:eastAsia="宋体"/>
                <w:szCs w:val="21"/>
              </w:rPr>
              <w:t>O）的质量分数</w:t>
            </w:r>
          </w:p>
        </w:tc>
        <w:tc>
          <w:tcPr>
            <w:tcW w:w="3594" w:type="dxa"/>
            <w:vAlign w:val="center"/>
          </w:tcPr>
          <w:p w14:paraId="411D630F">
            <w:pPr>
              <w:jc w:val="center"/>
              <w:rPr>
                <w:rFonts w:ascii="宋体" w:hAnsi="宋体" w:eastAsia="宋体" w:cs="宋体"/>
                <w:szCs w:val="21"/>
              </w:rPr>
            </w:pPr>
            <w:r>
              <w:rPr>
                <w:rFonts w:hint="eastAsia" w:ascii="宋体" w:hAnsi="宋体" w:eastAsia="宋体"/>
                <w:szCs w:val="21"/>
              </w:rPr>
              <w:t>HG/T 2321-2016</w:t>
            </w:r>
          </w:p>
        </w:tc>
      </w:tr>
      <w:tr w14:paraId="072715D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60A8D42C">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5</w:t>
            </w:r>
          </w:p>
        </w:tc>
        <w:tc>
          <w:tcPr>
            <w:tcW w:w="4253" w:type="dxa"/>
            <w:vAlign w:val="center"/>
          </w:tcPr>
          <w:p w14:paraId="3D7024BA">
            <w:pPr>
              <w:jc w:val="center"/>
              <w:rPr>
                <w:rFonts w:ascii="宋体" w:hAnsi="宋体" w:eastAsia="宋体" w:cs="宋体"/>
                <w:szCs w:val="21"/>
              </w:rPr>
            </w:pPr>
            <w:r>
              <w:rPr>
                <w:rFonts w:hint="eastAsia" w:ascii="宋体" w:hAnsi="宋体" w:eastAsia="宋体"/>
                <w:szCs w:val="21"/>
              </w:rPr>
              <w:t>水分</w:t>
            </w:r>
          </w:p>
        </w:tc>
        <w:tc>
          <w:tcPr>
            <w:tcW w:w="3594" w:type="dxa"/>
            <w:vAlign w:val="center"/>
          </w:tcPr>
          <w:p w14:paraId="6B47DB30">
            <w:pPr>
              <w:jc w:val="center"/>
              <w:rPr>
                <w:rFonts w:ascii="宋体" w:hAnsi="宋体" w:eastAsia="宋体" w:cs="宋体"/>
                <w:szCs w:val="21"/>
              </w:rPr>
            </w:pPr>
            <w:r>
              <w:rPr>
                <w:rFonts w:hint="eastAsia" w:ascii="宋体" w:hAnsi="宋体" w:eastAsia="宋体"/>
                <w:szCs w:val="21"/>
              </w:rPr>
              <w:t>HG/T 2321-2016</w:t>
            </w:r>
          </w:p>
        </w:tc>
      </w:tr>
      <w:tr w14:paraId="58D3FE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318AF4F3">
            <w:pPr>
              <w:jc w:val="center"/>
              <w:rPr>
                <w:rFonts w:ascii="宋体" w:hAnsi="宋体" w:eastAsia="宋体"/>
                <w:szCs w:val="21"/>
              </w:rPr>
            </w:pPr>
            <w:r>
              <w:rPr>
                <w:rFonts w:ascii="宋体" w:hAnsi="宋体" w:eastAsia="宋体" w:cs="宋体"/>
                <w:kern w:val="0"/>
                <w:szCs w:val="21"/>
              </w:rPr>
              <w:t>6</w:t>
            </w:r>
          </w:p>
        </w:tc>
        <w:tc>
          <w:tcPr>
            <w:tcW w:w="4253" w:type="dxa"/>
            <w:vAlign w:val="center"/>
          </w:tcPr>
          <w:p w14:paraId="36C6709A">
            <w:pPr>
              <w:jc w:val="center"/>
              <w:rPr>
                <w:rFonts w:ascii="宋体" w:hAnsi="宋体" w:eastAsia="宋体" w:cs="宋体"/>
                <w:szCs w:val="21"/>
              </w:rPr>
            </w:pPr>
            <w:r>
              <w:rPr>
                <w:rFonts w:hint="eastAsia" w:ascii="宋体" w:hAnsi="宋体" w:eastAsia="宋体"/>
                <w:szCs w:val="21"/>
              </w:rPr>
              <w:t>水不溶物的质量分数</w:t>
            </w:r>
          </w:p>
        </w:tc>
        <w:tc>
          <w:tcPr>
            <w:tcW w:w="3594" w:type="dxa"/>
            <w:vAlign w:val="center"/>
          </w:tcPr>
          <w:p w14:paraId="34D7A7C0">
            <w:pPr>
              <w:jc w:val="center"/>
              <w:rPr>
                <w:rFonts w:ascii="宋体" w:hAnsi="宋体" w:eastAsia="宋体" w:cs="宋体"/>
                <w:szCs w:val="21"/>
              </w:rPr>
            </w:pPr>
            <w:r>
              <w:rPr>
                <w:rFonts w:hint="eastAsia" w:ascii="宋体" w:hAnsi="宋体" w:eastAsia="宋体"/>
                <w:szCs w:val="21"/>
              </w:rPr>
              <w:t>HG/T 2321-2016</w:t>
            </w:r>
          </w:p>
        </w:tc>
      </w:tr>
      <w:tr w14:paraId="589A0E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jc w:val="center"/>
        </w:trPr>
        <w:tc>
          <w:tcPr>
            <w:tcW w:w="675" w:type="dxa"/>
            <w:vAlign w:val="center"/>
          </w:tcPr>
          <w:p w14:paraId="251FBF43">
            <w:pPr>
              <w:autoSpaceDE w:val="0"/>
              <w:autoSpaceDN w:val="0"/>
              <w:adjustRightInd w:val="0"/>
              <w:jc w:val="center"/>
              <w:rPr>
                <w:rFonts w:ascii="宋体" w:hAnsi="宋体" w:eastAsia="宋体" w:cs="宋体"/>
                <w:kern w:val="0"/>
                <w:szCs w:val="21"/>
              </w:rPr>
            </w:pPr>
            <w:r>
              <w:rPr>
                <w:rFonts w:hint="eastAsia" w:ascii="宋体" w:hAnsi="宋体" w:eastAsia="宋体" w:cs="宋体"/>
                <w:kern w:val="0"/>
                <w:szCs w:val="21"/>
              </w:rPr>
              <w:t>7</w:t>
            </w:r>
          </w:p>
        </w:tc>
        <w:tc>
          <w:tcPr>
            <w:tcW w:w="4253" w:type="dxa"/>
            <w:vAlign w:val="center"/>
          </w:tcPr>
          <w:p w14:paraId="4B7E3CA1">
            <w:pPr>
              <w:jc w:val="center"/>
              <w:rPr>
                <w:rFonts w:ascii="宋体" w:hAnsi="宋体" w:eastAsia="宋体" w:cs="宋体"/>
                <w:szCs w:val="21"/>
              </w:rPr>
            </w:pPr>
            <w:r>
              <w:rPr>
                <w:rFonts w:hint="eastAsia" w:ascii="宋体" w:hAnsi="宋体" w:eastAsia="宋体"/>
                <w:szCs w:val="21"/>
              </w:rPr>
              <w:t>pH值</w:t>
            </w:r>
          </w:p>
        </w:tc>
        <w:tc>
          <w:tcPr>
            <w:tcW w:w="3594" w:type="dxa"/>
            <w:vAlign w:val="center"/>
          </w:tcPr>
          <w:p w14:paraId="68CCC7BE">
            <w:pPr>
              <w:jc w:val="center"/>
              <w:rPr>
                <w:rFonts w:ascii="宋体" w:hAnsi="宋体" w:eastAsia="宋体" w:cs="宋体"/>
                <w:szCs w:val="21"/>
              </w:rPr>
            </w:pPr>
            <w:r>
              <w:rPr>
                <w:rFonts w:hint="eastAsia" w:ascii="宋体" w:hAnsi="宋体" w:eastAsia="宋体"/>
                <w:szCs w:val="21"/>
              </w:rPr>
              <w:t>HG/T 2321-2016</w:t>
            </w:r>
          </w:p>
        </w:tc>
      </w:tr>
    </w:tbl>
    <w:p w14:paraId="453ED69D">
      <w:pPr>
        <w:spacing w:beforeLines="50"/>
        <w:jc w:val="center"/>
        <w:rPr>
          <w:rFonts w:ascii="黑体" w:hAnsi="黑体" w:eastAsia="黑体" w:cs="黑体"/>
          <w:szCs w:val="24"/>
        </w:rPr>
      </w:pPr>
      <w:r>
        <w:rPr>
          <w:rFonts w:hint="eastAsia" w:ascii="黑体" w:hAnsi="黑体" w:eastAsia="黑体" w:cs="黑体"/>
          <w:szCs w:val="24"/>
        </w:rPr>
        <w:t>表3 工业磷酸二氢铵</w:t>
      </w:r>
    </w:p>
    <w:tbl>
      <w:tblPr>
        <w:tblStyle w:val="6"/>
        <w:tblW w:w="0" w:type="auto"/>
        <w:tblInd w:w="15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675"/>
        <w:gridCol w:w="4253"/>
        <w:gridCol w:w="3594"/>
      </w:tblGrid>
      <w:tr w14:paraId="7247B5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7DA5AC56">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序号</w:t>
            </w:r>
          </w:p>
        </w:tc>
        <w:tc>
          <w:tcPr>
            <w:tcW w:w="4253" w:type="dxa"/>
            <w:vAlign w:val="center"/>
          </w:tcPr>
          <w:p w14:paraId="53237A26">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检验项目</w:t>
            </w:r>
          </w:p>
        </w:tc>
        <w:tc>
          <w:tcPr>
            <w:tcW w:w="3594" w:type="dxa"/>
            <w:vAlign w:val="center"/>
          </w:tcPr>
          <w:p w14:paraId="684B2F50">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检验方法</w:t>
            </w:r>
          </w:p>
        </w:tc>
      </w:tr>
      <w:tr w14:paraId="01B626A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401DA616">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1</w:t>
            </w:r>
          </w:p>
        </w:tc>
        <w:tc>
          <w:tcPr>
            <w:tcW w:w="4253" w:type="dxa"/>
            <w:vAlign w:val="center"/>
          </w:tcPr>
          <w:p w14:paraId="726E33DE">
            <w:pPr>
              <w:jc w:val="center"/>
              <w:rPr>
                <w:rFonts w:ascii="宋体" w:hAnsi="宋体" w:eastAsia="宋体" w:cs="宋体"/>
                <w:szCs w:val="21"/>
              </w:rPr>
            </w:pPr>
            <w:r>
              <w:rPr>
                <w:rFonts w:hint="eastAsia" w:ascii="宋体" w:hAnsi="宋体" w:eastAsia="宋体"/>
                <w:szCs w:val="21"/>
              </w:rPr>
              <w:t>主含量[以（NH</w:t>
            </w:r>
            <w:r>
              <w:rPr>
                <w:rFonts w:hint="eastAsia" w:ascii="宋体" w:hAnsi="宋体" w:eastAsia="宋体"/>
                <w:szCs w:val="21"/>
                <w:vertAlign w:val="subscript"/>
              </w:rPr>
              <w:t>4</w:t>
            </w:r>
            <w:r>
              <w:rPr>
                <w:rFonts w:hint="eastAsia" w:ascii="宋体" w:hAnsi="宋体" w:eastAsia="宋体"/>
                <w:szCs w:val="21"/>
              </w:rPr>
              <w:t>)H</w:t>
            </w:r>
            <w:r>
              <w:rPr>
                <w:rFonts w:hint="eastAsia" w:ascii="宋体" w:hAnsi="宋体" w:eastAsia="宋体"/>
                <w:szCs w:val="21"/>
                <w:vertAlign w:val="subscript"/>
              </w:rPr>
              <w:t>2</w:t>
            </w:r>
            <w:r>
              <w:rPr>
                <w:rFonts w:hint="eastAsia" w:ascii="宋体" w:hAnsi="宋体" w:eastAsia="宋体"/>
                <w:szCs w:val="21"/>
              </w:rPr>
              <w:t>PO</w:t>
            </w:r>
            <w:r>
              <w:rPr>
                <w:rFonts w:hint="eastAsia" w:ascii="宋体" w:hAnsi="宋体" w:eastAsia="宋体"/>
                <w:szCs w:val="21"/>
                <w:vertAlign w:val="subscript"/>
              </w:rPr>
              <w:t>4</w:t>
            </w:r>
            <w:r>
              <w:rPr>
                <w:rFonts w:hint="eastAsia" w:ascii="宋体" w:hAnsi="宋体" w:eastAsia="宋体"/>
                <w:szCs w:val="21"/>
              </w:rPr>
              <w:t>）计]</w:t>
            </w:r>
          </w:p>
        </w:tc>
        <w:tc>
          <w:tcPr>
            <w:tcW w:w="3594" w:type="dxa"/>
            <w:vAlign w:val="center"/>
          </w:tcPr>
          <w:p w14:paraId="764E644D">
            <w:pPr>
              <w:jc w:val="center"/>
              <w:rPr>
                <w:rFonts w:ascii="宋体" w:hAnsi="宋体" w:eastAsia="宋体" w:cs="宋体"/>
                <w:szCs w:val="21"/>
              </w:rPr>
            </w:pPr>
            <w:r>
              <w:rPr>
                <w:rFonts w:hint="eastAsia" w:ascii="宋体" w:hAnsi="宋体" w:eastAsia="宋体"/>
                <w:szCs w:val="21"/>
              </w:rPr>
              <w:t>HG/T 4133-2021</w:t>
            </w:r>
          </w:p>
        </w:tc>
      </w:tr>
      <w:tr w14:paraId="05A99B5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04C78001">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2</w:t>
            </w:r>
          </w:p>
        </w:tc>
        <w:tc>
          <w:tcPr>
            <w:tcW w:w="4253" w:type="dxa"/>
            <w:vAlign w:val="center"/>
          </w:tcPr>
          <w:p w14:paraId="7A804CFC">
            <w:pPr>
              <w:jc w:val="center"/>
              <w:rPr>
                <w:rFonts w:ascii="宋体" w:hAnsi="宋体" w:eastAsia="宋体" w:cs="宋体"/>
                <w:szCs w:val="21"/>
              </w:rPr>
            </w:pPr>
            <w:r>
              <w:rPr>
                <w:rFonts w:hint="eastAsia" w:ascii="宋体" w:hAnsi="宋体" w:eastAsia="宋体"/>
                <w:szCs w:val="21"/>
              </w:rPr>
              <w:t>主含量[以P</w:t>
            </w:r>
            <w:r>
              <w:rPr>
                <w:rFonts w:hint="eastAsia" w:ascii="宋体" w:hAnsi="宋体" w:eastAsia="宋体"/>
                <w:szCs w:val="21"/>
                <w:vertAlign w:val="subscript"/>
              </w:rPr>
              <w:t>2</w:t>
            </w:r>
            <w:r>
              <w:rPr>
                <w:rFonts w:hint="eastAsia" w:ascii="宋体" w:hAnsi="宋体" w:eastAsia="宋体"/>
                <w:szCs w:val="21"/>
              </w:rPr>
              <w:t>O</w:t>
            </w:r>
            <w:r>
              <w:rPr>
                <w:rFonts w:hint="eastAsia" w:ascii="宋体" w:hAnsi="宋体" w:eastAsia="宋体"/>
                <w:szCs w:val="21"/>
                <w:vertAlign w:val="subscript"/>
              </w:rPr>
              <w:t>5</w:t>
            </w:r>
            <w:r>
              <w:rPr>
                <w:rFonts w:hint="eastAsia" w:ascii="宋体" w:hAnsi="宋体" w:eastAsia="宋体"/>
                <w:szCs w:val="21"/>
              </w:rPr>
              <w:t>计]</w:t>
            </w:r>
          </w:p>
        </w:tc>
        <w:tc>
          <w:tcPr>
            <w:tcW w:w="3594" w:type="dxa"/>
            <w:vAlign w:val="center"/>
          </w:tcPr>
          <w:p w14:paraId="3E915C54">
            <w:pPr>
              <w:jc w:val="center"/>
              <w:rPr>
                <w:rFonts w:ascii="宋体" w:hAnsi="宋体" w:eastAsia="宋体" w:cs="宋体"/>
                <w:szCs w:val="21"/>
              </w:rPr>
            </w:pPr>
            <w:r>
              <w:rPr>
                <w:rFonts w:hint="eastAsia" w:ascii="宋体" w:hAnsi="宋体" w:eastAsia="宋体"/>
                <w:szCs w:val="21"/>
              </w:rPr>
              <w:t>HG/T 4133-2021</w:t>
            </w:r>
          </w:p>
        </w:tc>
      </w:tr>
      <w:tr w14:paraId="48A377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517781CF">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3</w:t>
            </w:r>
          </w:p>
        </w:tc>
        <w:tc>
          <w:tcPr>
            <w:tcW w:w="4253" w:type="dxa"/>
            <w:vAlign w:val="center"/>
          </w:tcPr>
          <w:p w14:paraId="121EF321">
            <w:pPr>
              <w:jc w:val="center"/>
              <w:rPr>
                <w:rFonts w:ascii="宋体" w:hAnsi="宋体" w:eastAsia="宋体" w:cs="宋体"/>
                <w:szCs w:val="21"/>
              </w:rPr>
            </w:pPr>
            <w:r>
              <w:rPr>
                <w:rFonts w:hint="eastAsia" w:ascii="宋体" w:hAnsi="宋体" w:eastAsia="宋体"/>
                <w:szCs w:val="21"/>
              </w:rPr>
              <w:t>总氮（以N计）</w:t>
            </w:r>
          </w:p>
        </w:tc>
        <w:tc>
          <w:tcPr>
            <w:tcW w:w="3594" w:type="dxa"/>
            <w:vAlign w:val="center"/>
          </w:tcPr>
          <w:p w14:paraId="13862072">
            <w:pPr>
              <w:jc w:val="center"/>
              <w:rPr>
                <w:rFonts w:ascii="宋体" w:hAnsi="宋体" w:eastAsia="宋体" w:cs="宋体"/>
                <w:szCs w:val="21"/>
              </w:rPr>
            </w:pPr>
            <w:r>
              <w:rPr>
                <w:rFonts w:hint="eastAsia" w:ascii="宋体" w:hAnsi="宋体" w:eastAsia="宋体"/>
                <w:szCs w:val="21"/>
              </w:rPr>
              <w:t>GB/T 10209.1-2008</w:t>
            </w:r>
          </w:p>
        </w:tc>
      </w:tr>
      <w:tr w14:paraId="36F688D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56B02D42">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4</w:t>
            </w:r>
          </w:p>
        </w:tc>
        <w:tc>
          <w:tcPr>
            <w:tcW w:w="4253" w:type="dxa"/>
            <w:vAlign w:val="center"/>
          </w:tcPr>
          <w:p w14:paraId="15D74FF0">
            <w:pPr>
              <w:jc w:val="center"/>
              <w:rPr>
                <w:rFonts w:ascii="宋体" w:hAnsi="宋体" w:eastAsia="宋体" w:cs="宋体"/>
                <w:szCs w:val="21"/>
              </w:rPr>
            </w:pPr>
            <w:r>
              <w:rPr>
                <w:rFonts w:hint="eastAsia" w:ascii="宋体" w:hAnsi="宋体" w:eastAsia="宋体"/>
                <w:szCs w:val="21"/>
              </w:rPr>
              <w:t>砷（As）</w:t>
            </w:r>
          </w:p>
        </w:tc>
        <w:tc>
          <w:tcPr>
            <w:tcW w:w="3594" w:type="dxa"/>
            <w:vAlign w:val="center"/>
          </w:tcPr>
          <w:p w14:paraId="12A06E49">
            <w:pPr>
              <w:jc w:val="center"/>
              <w:rPr>
                <w:rFonts w:ascii="宋体" w:hAnsi="宋体" w:eastAsia="宋体" w:cs="宋体"/>
                <w:szCs w:val="21"/>
              </w:rPr>
            </w:pPr>
            <w:r>
              <w:rPr>
                <w:rFonts w:hint="eastAsia" w:ascii="宋体" w:hAnsi="宋体" w:eastAsia="宋体"/>
                <w:szCs w:val="21"/>
              </w:rPr>
              <w:t>HG/T 4133-2021</w:t>
            </w:r>
          </w:p>
        </w:tc>
      </w:tr>
      <w:tr w14:paraId="48C0AA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489AB1C6">
            <w:pPr>
              <w:autoSpaceDE w:val="0"/>
              <w:autoSpaceDN w:val="0"/>
              <w:adjustRightInd w:val="0"/>
              <w:jc w:val="center"/>
              <w:rPr>
                <w:rFonts w:ascii="宋体" w:hAnsi="宋体" w:eastAsia="宋体" w:cs="宋体"/>
                <w:kern w:val="0"/>
                <w:szCs w:val="21"/>
              </w:rPr>
            </w:pPr>
            <w:r>
              <w:rPr>
                <w:rFonts w:ascii="宋体" w:hAnsi="宋体" w:eastAsia="宋体" w:cs="宋体"/>
                <w:kern w:val="0"/>
                <w:szCs w:val="21"/>
              </w:rPr>
              <w:t>5</w:t>
            </w:r>
          </w:p>
        </w:tc>
        <w:tc>
          <w:tcPr>
            <w:tcW w:w="4253" w:type="dxa"/>
            <w:vAlign w:val="center"/>
          </w:tcPr>
          <w:p w14:paraId="0F441EB2">
            <w:pPr>
              <w:jc w:val="center"/>
              <w:rPr>
                <w:rFonts w:ascii="宋体" w:hAnsi="宋体" w:eastAsia="宋体" w:cs="宋体"/>
                <w:szCs w:val="21"/>
              </w:rPr>
            </w:pPr>
            <w:r>
              <w:rPr>
                <w:rFonts w:hint="eastAsia" w:ascii="宋体" w:hAnsi="宋体" w:eastAsia="宋体"/>
                <w:szCs w:val="21"/>
              </w:rPr>
              <w:t>氟化物（以F计）</w:t>
            </w:r>
          </w:p>
        </w:tc>
        <w:tc>
          <w:tcPr>
            <w:tcW w:w="3594" w:type="dxa"/>
            <w:vAlign w:val="center"/>
          </w:tcPr>
          <w:p w14:paraId="69D5D501">
            <w:pPr>
              <w:jc w:val="center"/>
              <w:rPr>
                <w:rFonts w:ascii="宋体" w:hAnsi="宋体" w:eastAsia="宋体" w:cs="宋体"/>
                <w:szCs w:val="21"/>
              </w:rPr>
            </w:pPr>
            <w:r>
              <w:rPr>
                <w:rFonts w:hint="eastAsia" w:ascii="宋体" w:hAnsi="宋体" w:eastAsia="宋体"/>
                <w:szCs w:val="21"/>
              </w:rPr>
              <w:t>HG/T 4133-2021</w:t>
            </w:r>
          </w:p>
        </w:tc>
      </w:tr>
      <w:tr w14:paraId="422DDB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5F42F6CD">
            <w:pPr>
              <w:jc w:val="center"/>
              <w:rPr>
                <w:rFonts w:ascii="宋体" w:hAnsi="宋体" w:eastAsia="宋体"/>
                <w:szCs w:val="21"/>
              </w:rPr>
            </w:pPr>
            <w:r>
              <w:rPr>
                <w:rFonts w:ascii="宋体" w:hAnsi="宋体" w:eastAsia="宋体" w:cs="宋体"/>
                <w:kern w:val="0"/>
                <w:szCs w:val="21"/>
              </w:rPr>
              <w:t>6</w:t>
            </w:r>
          </w:p>
        </w:tc>
        <w:tc>
          <w:tcPr>
            <w:tcW w:w="4253" w:type="dxa"/>
            <w:vAlign w:val="center"/>
          </w:tcPr>
          <w:p w14:paraId="561C6A79">
            <w:pPr>
              <w:jc w:val="center"/>
              <w:rPr>
                <w:rFonts w:ascii="宋体" w:hAnsi="宋体" w:eastAsia="宋体" w:cs="宋体"/>
                <w:szCs w:val="21"/>
              </w:rPr>
            </w:pPr>
            <w:r>
              <w:rPr>
                <w:rFonts w:hint="eastAsia" w:ascii="宋体" w:hAnsi="宋体" w:eastAsia="宋体"/>
                <w:szCs w:val="21"/>
              </w:rPr>
              <w:t>硫酸盐（以SO</w:t>
            </w:r>
            <w:r>
              <w:rPr>
                <w:rFonts w:hint="eastAsia" w:ascii="宋体" w:hAnsi="宋体" w:eastAsia="宋体"/>
                <w:szCs w:val="21"/>
                <w:vertAlign w:val="subscript"/>
              </w:rPr>
              <w:t>4</w:t>
            </w:r>
            <w:r>
              <w:rPr>
                <w:rFonts w:hint="eastAsia" w:ascii="宋体" w:hAnsi="宋体" w:eastAsia="宋体"/>
                <w:szCs w:val="21"/>
              </w:rPr>
              <w:t xml:space="preserve"> 计）</w:t>
            </w:r>
          </w:p>
        </w:tc>
        <w:tc>
          <w:tcPr>
            <w:tcW w:w="3594" w:type="dxa"/>
            <w:vAlign w:val="center"/>
          </w:tcPr>
          <w:p w14:paraId="3B56947D">
            <w:pPr>
              <w:jc w:val="center"/>
              <w:rPr>
                <w:rFonts w:ascii="宋体" w:hAnsi="宋体" w:eastAsia="宋体" w:cs="宋体"/>
                <w:szCs w:val="21"/>
              </w:rPr>
            </w:pPr>
            <w:r>
              <w:rPr>
                <w:rFonts w:hint="eastAsia" w:ascii="宋体" w:hAnsi="宋体" w:eastAsia="宋体"/>
                <w:szCs w:val="21"/>
              </w:rPr>
              <w:t>HG/T 4133-2021</w:t>
            </w:r>
          </w:p>
        </w:tc>
      </w:tr>
      <w:tr w14:paraId="3E596CE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650EA4D1">
            <w:pPr>
              <w:autoSpaceDE w:val="0"/>
              <w:autoSpaceDN w:val="0"/>
              <w:adjustRightInd w:val="0"/>
              <w:jc w:val="center"/>
              <w:rPr>
                <w:rFonts w:ascii="宋体" w:hAnsi="宋体" w:eastAsia="宋体" w:cs="宋体"/>
                <w:kern w:val="0"/>
                <w:szCs w:val="21"/>
              </w:rPr>
            </w:pPr>
            <w:r>
              <w:rPr>
                <w:rFonts w:hint="eastAsia" w:ascii="宋体" w:hAnsi="宋体" w:eastAsia="宋体" w:cs="宋体"/>
                <w:kern w:val="0"/>
                <w:szCs w:val="21"/>
              </w:rPr>
              <w:t>7</w:t>
            </w:r>
          </w:p>
        </w:tc>
        <w:tc>
          <w:tcPr>
            <w:tcW w:w="4253" w:type="dxa"/>
            <w:vAlign w:val="center"/>
          </w:tcPr>
          <w:p w14:paraId="261C0032">
            <w:pPr>
              <w:jc w:val="center"/>
              <w:rPr>
                <w:rFonts w:ascii="宋体" w:hAnsi="宋体" w:eastAsia="宋体" w:cs="宋体"/>
                <w:szCs w:val="21"/>
              </w:rPr>
            </w:pPr>
            <w:r>
              <w:rPr>
                <w:rFonts w:hint="eastAsia" w:ascii="宋体" w:hAnsi="宋体" w:eastAsia="宋体"/>
                <w:szCs w:val="21"/>
              </w:rPr>
              <w:t>水分</w:t>
            </w:r>
          </w:p>
        </w:tc>
        <w:tc>
          <w:tcPr>
            <w:tcW w:w="3594" w:type="dxa"/>
            <w:vAlign w:val="center"/>
          </w:tcPr>
          <w:p w14:paraId="72B48211">
            <w:pPr>
              <w:jc w:val="center"/>
              <w:rPr>
                <w:rFonts w:ascii="宋体" w:hAnsi="宋体" w:eastAsia="宋体" w:cs="宋体"/>
                <w:szCs w:val="21"/>
              </w:rPr>
            </w:pPr>
            <w:r>
              <w:rPr>
                <w:rFonts w:hint="eastAsia" w:ascii="宋体" w:hAnsi="宋体" w:eastAsia="宋体"/>
                <w:szCs w:val="21"/>
              </w:rPr>
              <w:t>GB/T 10209.3-2010</w:t>
            </w:r>
          </w:p>
        </w:tc>
      </w:tr>
      <w:tr w14:paraId="326F89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1C80FB18">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8</w:t>
            </w:r>
          </w:p>
        </w:tc>
        <w:tc>
          <w:tcPr>
            <w:tcW w:w="4253" w:type="dxa"/>
            <w:vAlign w:val="center"/>
          </w:tcPr>
          <w:p w14:paraId="0CD4D021">
            <w:pPr>
              <w:jc w:val="center"/>
              <w:rPr>
                <w:rFonts w:ascii="宋体" w:hAnsi="宋体" w:eastAsia="宋体" w:cs="宋体"/>
                <w:szCs w:val="21"/>
              </w:rPr>
            </w:pPr>
            <w:r>
              <w:rPr>
                <w:rFonts w:hint="eastAsia" w:ascii="宋体" w:hAnsi="宋体" w:eastAsia="宋体"/>
                <w:szCs w:val="21"/>
              </w:rPr>
              <w:t>水不溶物</w:t>
            </w:r>
          </w:p>
        </w:tc>
        <w:tc>
          <w:tcPr>
            <w:tcW w:w="3594" w:type="dxa"/>
            <w:vAlign w:val="center"/>
          </w:tcPr>
          <w:p w14:paraId="6C55BD34">
            <w:pPr>
              <w:jc w:val="center"/>
              <w:rPr>
                <w:rFonts w:ascii="宋体" w:hAnsi="宋体" w:eastAsia="宋体" w:cs="宋体"/>
                <w:szCs w:val="21"/>
              </w:rPr>
            </w:pPr>
            <w:r>
              <w:rPr>
                <w:rFonts w:hint="eastAsia" w:ascii="宋体" w:hAnsi="宋体" w:eastAsia="宋体"/>
                <w:szCs w:val="21"/>
              </w:rPr>
              <w:t>HG/T 4133-2021</w:t>
            </w:r>
          </w:p>
        </w:tc>
      </w:tr>
      <w:tr w14:paraId="26DBDF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7" w:hRule="atLeast"/>
        </w:trPr>
        <w:tc>
          <w:tcPr>
            <w:tcW w:w="675" w:type="dxa"/>
            <w:vAlign w:val="center"/>
          </w:tcPr>
          <w:p w14:paraId="739310E9">
            <w:pPr>
              <w:autoSpaceDE w:val="0"/>
              <w:autoSpaceDN w:val="0"/>
              <w:adjustRightInd w:val="0"/>
              <w:jc w:val="center"/>
              <w:rPr>
                <w:rFonts w:ascii="宋体" w:hAnsi="宋体" w:eastAsia="宋体" w:cs="黑体"/>
                <w:kern w:val="0"/>
                <w:szCs w:val="21"/>
              </w:rPr>
            </w:pPr>
            <w:r>
              <w:rPr>
                <w:rFonts w:hint="eastAsia" w:ascii="宋体" w:hAnsi="宋体" w:eastAsia="宋体" w:cs="黑体"/>
                <w:kern w:val="0"/>
                <w:szCs w:val="21"/>
              </w:rPr>
              <w:t>9</w:t>
            </w:r>
          </w:p>
        </w:tc>
        <w:tc>
          <w:tcPr>
            <w:tcW w:w="4253" w:type="dxa"/>
            <w:vAlign w:val="center"/>
          </w:tcPr>
          <w:p w14:paraId="5C35B2F7">
            <w:pPr>
              <w:jc w:val="center"/>
              <w:rPr>
                <w:rFonts w:ascii="宋体" w:hAnsi="宋体" w:eastAsia="宋体" w:cs="宋体"/>
                <w:szCs w:val="21"/>
              </w:rPr>
            </w:pPr>
            <w:r>
              <w:rPr>
                <w:rFonts w:hint="eastAsia" w:ascii="宋体" w:hAnsi="宋体" w:eastAsia="宋体"/>
                <w:szCs w:val="21"/>
              </w:rPr>
              <w:t>pH（10g/L溶液）</w:t>
            </w:r>
          </w:p>
        </w:tc>
        <w:tc>
          <w:tcPr>
            <w:tcW w:w="3594" w:type="dxa"/>
            <w:vAlign w:val="center"/>
          </w:tcPr>
          <w:p w14:paraId="271E90AD">
            <w:pPr>
              <w:jc w:val="center"/>
              <w:rPr>
                <w:rFonts w:ascii="宋体" w:hAnsi="宋体" w:eastAsia="宋体" w:cs="宋体"/>
                <w:szCs w:val="21"/>
              </w:rPr>
            </w:pPr>
            <w:r>
              <w:rPr>
                <w:rFonts w:hint="eastAsia" w:ascii="宋体" w:hAnsi="宋体" w:eastAsia="宋体"/>
                <w:szCs w:val="21"/>
              </w:rPr>
              <w:t>HG/T 4133-2021</w:t>
            </w:r>
          </w:p>
        </w:tc>
      </w:tr>
    </w:tbl>
    <w:p w14:paraId="37780647">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注：1.上表所列检验项目是有关法律法规、标准等规定的，重点涉及健康、安全、节能、环保以及消费者、有关组织反映有质量问题的重要项目。</w:t>
      </w:r>
    </w:p>
    <w:p w14:paraId="67EC6E94">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2.检验方法包括相关产品标准及试验方法标准。</w:t>
      </w:r>
    </w:p>
    <w:p w14:paraId="65FDCB52">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3.凡是注日期的文件，其随后所有的修改单（不包括勘误的内容）或修订版不适用于本细则。凡是不注日期的文件，其最新版本适用于本细则。</w:t>
      </w:r>
    </w:p>
    <w:p w14:paraId="298B7577">
      <w:pPr>
        <w:pStyle w:val="11"/>
        <w:ind w:firstLine="415" w:firstLineChars="198"/>
        <w:rPr>
          <w:rFonts w:hAnsi="宋体"/>
          <w:szCs w:val="21"/>
        </w:rPr>
      </w:pPr>
    </w:p>
    <w:p w14:paraId="6AD6BD7C">
      <w:pPr>
        <w:widowControl/>
        <w:kinsoku w:val="0"/>
        <w:autoSpaceDE w:val="0"/>
        <w:autoSpaceDN w:val="0"/>
        <w:adjustRightInd w:val="0"/>
        <w:snapToGrid w:val="0"/>
        <w:spacing w:before="65" w:line="230" w:lineRule="auto"/>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 </w:t>
      </w:r>
      <w:r>
        <w:rPr>
          <w:rFonts w:hint="eastAsia" w:ascii="黑体" w:hAnsi="黑体" w:eastAsia="黑体" w:cs="黑体"/>
          <w:snapToGrid w:val="0"/>
          <w:color w:val="000000"/>
          <w:spacing w:val="5"/>
          <w:kern w:val="0"/>
          <w:szCs w:val="21"/>
        </w:rPr>
        <w:t>判定规则</w:t>
      </w:r>
    </w:p>
    <w:p w14:paraId="62AB40EE">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3.1 </w:t>
      </w:r>
      <w:r>
        <w:rPr>
          <w:rFonts w:hint="eastAsia" w:ascii="黑体" w:hAnsi="黑体" w:eastAsia="黑体" w:cs="黑体"/>
          <w:snapToGrid w:val="0"/>
          <w:color w:val="000000"/>
          <w:spacing w:val="5"/>
          <w:kern w:val="0"/>
          <w:szCs w:val="21"/>
        </w:rPr>
        <w:t>依据标准</w:t>
      </w:r>
    </w:p>
    <w:p w14:paraId="71F2DA04">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GB/T 10205-2009磷酸二铵</w:t>
      </w:r>
    </w:p>
    <w:p w14:paraId="51496F08">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HG/T 2321-2016肥料级磷酸二氢钾</w:t>
      </w:r>
    </w:p>
    <w:p w14:paraId="6D668329">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HG/T 4133-2021工业磷酸二氢铵</w:t>
      </w:r>
    </w:p>
    <w:p w14:paraId="7BD1C8C9">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现行有效的企业标准、团体标准、地方标准及产品明示质量要求。</w:t>
      </w:r>
    </w:p>
    <w:p w14:paraId="2949B2EC">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3.2 </w:t>
      </w:r>
      <w:r>
        <w:rPr>
          <w:rFonts w:hint="eastAsia" w:ascii="黑体" w:hAnsi="黑体" w:eastAsia="黑体" w:cs="黑体"/>
          <w:snapToGrid w:val="0"/>
          <w:color w:val="000000"/>
          <w:spacing w:val="5"/>
          <w:kern w:val="0"/>
          <w:szCs w:val="21"/>
        </w:rPr>
        <w:t>判定原则</w:t>
      </w:r>
    </w:p>
    <w:p w14:paraId="62C8C7CE">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经检验，检验项目全部合格，判定为被抽查产品未发现不合格；检验项目中任一项或一项以上不合格，判定为被抽查产品不合格。</w:t>
      </w:r>
    </w:p>
    <w:p w14:paraId="1B9DAE64">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若被检产品明示的质量要求高于本细则中检验项目依据的标准要求时，应按被检产品明示的质量要求判定。</w:t>
      </w:r>
    </w:p>
    <w:p w14:paraId="6C712BA1">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若被检产品明示的质量要求低于本细则中检验项目依据的强制性标准要求时，应按照强制性标准要求判定。</w:t>
      </w:r>
    </w:p>
    <w:p w14:paraId="1D52E3BD">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若被检产品明示的质量要求低于或包含细则中检验项目依据的推荐性标准要求时，应以被检产品明示的质量要求判定，但应在检验报告备注中进行说明。</w:t>
      </w:r>
    </w:p>
    <w:p w14:paraId="65B6DA7E">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若被检产品明示的质量要求缺少本细则中检验项目依据的强制性标准要求时，应按照强制性标准要求判定。</w:t>
      </w:r>
    </w:p>
    <w:p w14:paraId="5E37A6FA">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若被检产品明示的质量要求缺少本细则中检验项目依据的推荐性标准要求时，该项目不参与判定，但应在检验报告备注中进行说明。</w:t>
      </w:r>
    </w:p>
    <w:p w14:paraId="2901259F">
      <w:pPr>
        <w:autoSpaceDE w:val="0"/>
        <w:autoSpaceDN w:val="0"/>
        <w:adjustRightInd w:val="0"/>
        <w:jc w:val="left"/>
        <w:rPr>
          <w:rFonts w:ascii="宋体" w:eastAsia="宋体" w:cs="宋体"/>
          <w:kern w:val="0"/>
          <w:szCs w:val="21"/>
        </w:rPr>
      </w:pPr>
    </w:p>
    <w:sectPr>
      <w:headerReference r:id="rId3" w:type="default"/>
      <w:footerReference r:id="rId4" w:type="default"/>
      <w:pgSz w:w="11906" w:h="16838"/>
      <w:pgMar w:top="1440" w:right="1588" w:bottom="1361" w:left="1701"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B3448">
    <w:pPr>
      <w:pStyle w:val="3"/>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A27C7">
    <w:pPr>
      <w:jc w:val="right"/>
      <w:rPr>
        <w:rFonts w:ascii="Times New Roman" w:hAnsi="Times New Roman" w:eastAsia="华文中宋" w:cs="Times New Roman"/>
        <w:b/>
        <w:sz w:val="24"/>
        <w:szCs w:val="24"/>
      </w:rPr>
    </w:pPr>
    <w:r>
      <w:rPr>
        <w:rFonts w:ascii="Times New Roman" w:hAnsi="Times New Roman" w:eastAsia="华文中宋" w:cs="Times New Roman"/>
        <w:b/>
        <w:snapToGrid w:val="0"/>
        <w:sz w:val="24"/>
        <w:szCs w:val="24"/>
      </w:rPr>
      <w:t>DZSJDCC202</w:t>
    </w:r>
    <w:r>
      <w:rPr>
        <w:rFonts w:hint="eastAsia" w:ascii="Times New Roman" w:hAnsi="Times New Roman" w:eastAsia="华文中宋" w:cs="Times New Roman"/>
        <w:b/>
        <w:snapToGrid w:val="0"/>
        <w:sz w:val="24"/>
        <w:szCs w:val="24"/>
      </w:rPr>
      <w:t>6</w:t>
    </w:r>
    <w:r>
      <w:rPr>
        <w:rFonts w:ascii="Times New Roman" w:hAnsi="Times New Roman" w:eastAsia="华文中宋" w:cs="Times New Roman"/>
        <w:b/>
        <w:snapToGrid w:val="0"/>
        <w:sz w:val="24"/>
        <w:szCs w:val="24"/>
      </w:rPr>
      <w:t>年00</w:t>
    </w:r>
    <w:r>
      <w:rPr>
        <w:rFonts w:hint="eastAsia" w:ascii="Times New Roman" w:hAnsi="Times New Roman" w:eastAsia="华文中宋" w:cs="Times New Roman"/>
        <w:b/>
        <w:snapToGrid w:val="0"/>
        <w:sz w:val="24"/>
        <w:szCs w:val="24"/>
      </w:rPr>
      <w:t>9</w:t>
    </w:r>
  </w:p>
  <w:p w14:paraId="7EB40EA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209E"/>
    <w:rsid w:val="000575B8"/>
    <w:rsid w:val="0005791C"/>
    <w:rsid w:val="000F209E"/>
    <w:rsid w:val="002107FF"/>
    <w:rsid w:val="002243C2"/>
    <w:rsid w:val="00241AE1"/>
    <w:rsid w:val="00345F48"/>
    <w:rsid w:val="003B315F"/>
    <w:rsid w:val="003E2A2B"/>
    <w:rsid w:val="00442025"/>
    <w:rsid w:val="004870F5"/>
    <w:rsid w:val="005103FE"/>
    <w:rsid w:val="00553AD4"/>
    <w:rsid w:val="00554A47"/>
    <w:rsid w:val="00575D7F"/>
    <w:rsid w:val="0058633E"/>
    <w:rsid w:val="005B6A49"/>
    <w:rsid w:val="005D2B5C"/>
    <w:rsid w:val="005D650C"/>
    <w:rsid w:val="00674121"/>
    <w:rsid w:val="006A2293"/>
    <w:rsid w:val="007B3CE3"/>
    <w:rsid w:val="008522D9"/>
    <w:rsid w:val="00886DBE"/>
    <w:rsid w:val="00945A2A"/>
    <w:rsid w:val="00990497"/>
    <w:rsid w:val="00A14A9B"/>
    <w:rsid w:val="00AF4344"/>
    <w:rsid w:val="00B112D2"/>
    <w:rsid w:val="00D161FD"/>
    <w:rsid w:val="00DC738F"/>
    <w:rsid w:val="00DF7A19"/>
    <w:rsid w:val="00E51F1E"/>
    <w:rsid w:val="00E72930"/>
    <w:rsid w:val="00EC4A01"/>
    <w:rsid w:val="00EE7375"/>
    <w:rsid w:val="00F26B27"/>
    <w:rsid w:val="00F3458A"/>
    <w:rsid w:val="27614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
    <w:unhideWhenUsed/>
    <w:qFormat/>
    <w:uiPriority w:val="0"/>
    <w:pPr>
      <w:spacing w:after="120"/>
    </w:pPr>
    <w:rPr>
      <w:rFonts w:ascii="Calibri" w:hAnsi="Calibri" w:eastAsia="宋体" w:cs="Calibri"/>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列出段落1"/>
    <w:basedOn w:val="1"/>
    <w:qFormat/>
    <w:uiPriority w:val="34"/>
    <w:pPr>
      <w:ind w:firstLine="420" w:firstLineChars="200"/>
    </w:pPr>
    <w:rPr>
      <w:rFonts w:ascii="Calibri" w:hAnsi="Calibri" w:eastAsia="宋体" w:cs="Times New Roman"/>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2">
    <w:name w:val="正文文本 Char"/>
    <w:basedOn w:val="7"/>
    <w:link w:val="2"/>
    <w:qFormat/>
    <w:uiPriority w:val="0"/>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981</Words>
  <Characters>1329</Characters>
  <Lines>10</Lines>
  <Paragraphs>2</Paragraphs>
  <TotalTime>65</TotalTime>
  <ScaleCrop>false</ScaleCrop>
  <LinksUpToDate>false</LinksUpToDate>
  <CharactersWithSpaces>1363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2024-12-26T04:28:00Z</dcterms:created>
  <dc:creator>Microsoft</dc:creator>
  <cp:lastModifiedBy>JASMIN</cp:lastModifiedBy>
  <dcterms:modified xsi:type="dcterms:W3CDTF">2025-12-15T07:52:07Z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eyJoZGlkIjoiZjFhNTYxNTFlZTljZDJiMjkwZjg5M2ZiOWQyOGZlMjUiLCJ1c2VySWQiOiI0MjMyNzE4MjAifQ==</vt:lpwstr>
  </property>
  <property fmtid="{D5CDD505-2E9C-101B-9397-08002B2CF9AE}" pid="3" name="KSOProductBuildVer">
    <vt:lpwstr>2052-12.1.0.24034</vt:lpwstr>
  </property>
  <property fmtid="{D5CDD505-2E9C-101B-9397-08002B2CF9AE}" pid="4" name="ICV">
    <vt:lpwstr>A41F58C97DC944808680C88B2F11803D_12</vt:lpwstr>
  </property>
</Properties>
</file>