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C1CDB7">
      <w:pPr>
        <w:widowControl/>
        <w:kinsoku w:val="0"/>
        <w:autoSpaceDE w:val="0"/>
        <w:autoSpaceDN w:val="0"/>
        <w:adjustRightInd w:val="0"/>
        <w:snapToGrid w:val="0"/>
        <w:spacing w:before="163" w:line="226" w:lineRule="auto"/>
        <w:jc w:val="center"/>
        <w:textAlignment w:val="baseline"/>
        <w:outlineLvl w:val="0"/>
        <w:rPr>
          <w:rFonts w:ascii="方正小标宋简体" w:hAnsi="黑体" w:eastAsia="方正小标宋简体" w:cs="黑体"/>
          <w:snapToGrid w:val="0"/>
          <w:color w:val="000000"/>
          <w:spacing w:val="8"/>
          <w:kern w:val="0"/>
          <w:sz w:val="36"/>
          <w:szCs w:val="36"/>
        </w:rPr>
      </w:pPr>
      <w:r>
        <w:rPr>
          <w:rFonts w:hint="eastAsia" w:ascii="方正小标宋简体" w:hAnsi="黑体" w:eastAsia="方正小标宋简体" w:cs="黑体"/>
          <w:snapToGrid w:val="0"/>
          <w:color w:val="000000"/>
          <w:spacing w:val="8"/>
          <w:kern w:val="0"/>
          <w:sz w:val="36"/>
          <w:szCs w:val="36"/>
        </w:rPr>
        <w:t>达州市氮肥产品质量市级监督抽查实施细则</w:t>
      </w:r>
    </w:p>
    <w:p w14:paraId="538BFE30">
      <w:pPr>
        <w:widowControl/>
        <w:kinsoku w:val="0"/>
        <w:autoSpaceDE w:val="0"/>
        <w:autoSpaceDN w:val="0"/>
        <w:adjustRightInd w:val="0"/>
        <w:snapToGrid w:val="0"/>
        <w:spacing w:before="163" w:line="226" w:lineRule="auto"/>
        <w:jc w:val="center"/>
        <w:textAlignment w:val="baseline"/>
        <w:outlineLvl w:val="0"/>
        <w:rPr>
          <w:rFonts w:ascii="方正小标宋简体" w:hAnsi="黑体" w:eastAsia="方正小标宋简体" w:cs="黑体"/>
          <w:snapToGrid w:val="0"/>
          <w:color w:val="000000"/>
          <w:spacing w:val="8"/>
          <w:kern w:val="0"/>
          <w:sz w:val="36"/>
          <w:szCs w:val="36"/>
        </w:rPr>
      </w:pPr>
      <w:r>
        <w:rPr>
          <w:rFonts w:hint="eastAsia" w:ascii="方正小标宋简体" w:hAnsi="黑体" w:eastAsia="方正小标宋简体" w:cs="黑体"/>
          <w:snapToGrid w:val="0"/>
          <w:color w:val="000000"/>
          <w:spacing w:val="8"/>
          <w:kern w:val="0"/>
          <w:sz w:val="36"/>
          <w:szCs w:val="36"/>
        </w:rPr>
        <w:t>（</w:t>
      </w:r>
      <w:r>
        <w:rPr>
          <w:rFonts w:ascii="方正小标宋简体" w:hAnsi="黑体" w:eastAsia="方正小标宋简体" w:cs="黑体"/>
          <w:snapToGrid w:val="0"/>
          <w:color w:val="000000"/>
          <w:spacing w:val="8"/>
          <w:kern w:val="0"/>
          <w:sz w:val="36"/>
          <w:szCs w:val="36"/>
        </w:rPr>
        <w:t>202</w:t>
      </w:r>
      <w:r>
        <w:rPr>
          <w:rFonts w:hint="eastAsia" w:ascii="方正小标宋简体" w:hAnsi="黑体" w:eastAsia="方正小标宋简体" w:cs="黑体"/>
          <w:snapToGrid w:val="0"/>
          <w:color w:val="000000"/>
          <w:spacing w:val="8"/>
          <w:kern w:val="0"/>
          <w:sz w:val="36"/>
          <w:szCs w:val="36"/>
        </w:rPr>
        <w:t>6版）</w:t>
      </w:r>
      <w:bookmarkStart w:id="0" w:name="_GoBack"/>
      <w:bookmarkEnd w:id="0"/>
    </w:p>
    <w:p w14:paraId="1C1599C6">
      <w:pPr>
        <w:rPr>
          <w:rFonts w:ascii="黑体" w:hAnsi="黑体" w:eastAsia="黑体" w:cs="Times New Roman"/>
          <w:szCs w:val="21"/>
        </w:rPr>
      </w:pPr>
    </w:p>
    <w:p w14:paraId="09FE0FEB">
      <w:pPr>
        <w:rPr>
          <w:rFonts w:ascii="黑体" w:hAnsi="黑体" w:eastAsia="黑体" w:cs="Times New Roman"/>
          <w:szCs w:val="21"/>
        </w:rPr>
      </w:pPr>
      <w:r>
        <w:rPr>
          <w:rFonts w:ascii="黑体" w:hAnsi="黑体" w:eastAsia="黑体" w:cs="Times New Roman"/>
          <w:szCs w:val="21"/>
        </w:rPr>
        <w:t xml:space="preserve">1 </w:t>
      </w:r>
      <w:r>
        <w:rPr>
          <w:rFonts w:hint="eastAsia" w:ascii="黑体" w:hAnsi="黑体" w:eastAsia="黑体" w:cs="Times New Roman"/>
          <w:szCs w:val="21"/>
        </w:rPr>
        <w:t>抽样方法</w:t>
      </w:r>
    </w:p>
    <w:p w14:paraId="315CBC90">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以随机抽样的方式在被抽样生产者、销售者的待销产品中抽取。</w:t>
      </w:r>
    </w:p>
    <w:p w14:paraId="1E4824AA">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随机数一般可使用随机数表等方法产生。</w:t>
      </w:r>
    </w:p>
    <w:p w14:paraId="3C734860">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将粒状样品缩分至约</w:t>
      </w:r>
      <w:r>
        <w:rPr>
          <w:rFonts w:ascii="宋体" w:hAnsi="宋体" w:cs="宋体"/>
          <w:snapToGrid w:val="0"/>
          <w:color w:val="000000"/>
          <w:spacing w:val="7"/>
          <w:kern w:val="0"/>
        </w:rPr>
        <w:t>1kg</w:t>
      </w:r>
      <w:r>
        <w:rPr>
          <w:rFonts w:hint="eastAsia" w:ascii="宋体" w:hAnsi="宋体" w:cs="宋体"/>
          <w:snapToGrid w:val="0"/>
          <w:color w:val="000000"/>
          <w:spacing w:val="7"/>
          <w:kern w:val="0"/>
        </w:rPr>
        <w:t>，再缩分成两份，分装于</w:t>
      </w:r>
      <w:r>
        <w:rPr>
          <w:rFonts w:ascii="宋体" w:hAnsi="宋体" w:cs="宋体"/>
          <w:snapToGrid w:val="0"/>
          <w:color w:val="000000"/>
          <w:spacing w:val="7"/>
          <w:kern w:val="0"/>
        </w:rPr>
        <w:t>2</w:t>
      </w:r>
      <w:r>
        <w:rPr>
          <w:rFonts w:hint="eastAsia" w:ascii="宋体" w:hAnsi="宋体" w:cs="宋体"/>
          <w:snapToGrid w:val="0"/>
          <w:color w:val="000000"/>
          <w:spacing w:val="7"/>
          <w:kern w:val="0"/>
        </w:rPr>
        <w:t>个洁净、干燥的塑料瓶中。</w:t>
      </w:r>
      <w:r>
        <w:rPr>
          <w:rFonts w:ascii="宋体" w:hAnsi="宋体" w:cs="宋体"/>
          <w:snapToGrid w:val="0"/>
          <w:color w:val="000000"/>
          <w:spacing w:val="7"/>
          <w:kern w:val="0"/>
        </w:rPr>
        <w:t>1</w:t>
      </w:r>
      <w:r>
        <w:rPr>
          <w:rFonts w:hint="eastAsia" w:ascii="宋体" w:hAnsi="宋体" w:cs="宋体"/>
          <w:snapToGrid w:val="0"/>
          <w:color w:val="000000"/>
          <w:spacing w:val="7"/>
          <w:kern w:val="0"/>
        </w:rPr>
        <w:t>瓶作为检验样品，另</w:t>
      </w:r>
      <w:r>
        <w:rPr>
          <w:rFonts w:ascii="宋体" w:hAnsi="宋体" w:cs="宋体"/>
          <w:snapToGrid w:val="0"/>
          <w:color w:val="000000"/>
          <w:spacing w:val="7"/>
          <w:kern w:val="0"/>
        </w:rPr>
        <w:t>1</w:t>
      </w:r>
      <w:r>
        <w:rPr>
          <w:rFonts w:hint="eastAsia" w:ascii="宋体" w:hAnsi="宋体" w:cs="宋体"/>
          <w:snapToGrid w:val="0"/>
          <w:color w:val="000000"/>
          <w:spacing w:val="7"/>
          <w:kern w:val="0"/>
        </w:rPr>
        <w:t>瓶作为备用样品。</w:t>
      </w:r>
    </w:p>
    <w:p w14:paraId="73218CCB">
      <w:pPr>
        <w:autoSpaceDE w:val="0"/>
        <w:autoSpaceDN w:val="0"/>
        <w:adjustRightInd w:val="0"/>
        <w:ind w:firstLine="315" w:firstLineChars="150"/>
        <w:jc w:val="left"/>
        <w:rPr>
          <w:rFonts w:ascii="宋体" w:eastAsia="宋体" w:cs="宋体"/>
          <w:kern w:val="0"/>
          <w:szCs w:val="21"/>
        </w:rPr>
      </w:pPr>
    </w:p>
    <w:p w14:paraId="5422F587">
      <w:pPr>
        <w:widowControl/>
        <w:kinsoku w:val="0"/>
        <w:autoSpaceDE w:val="0"/>
        <w:autoSpaceDN w:val="0"/>
        <w:adjustRightInd w:val="0"/>
        <w:snapToGrid w:val="0"/>
        <w:jc w:val="left"/>
        <w:textAlignment w:val="baseline"/>
        <w:rPr>
          <w:rFonts w:ascii="黑体" w:hAnsi="黑体" w:eastAsia="黑体" w:cs="黑体"/>
          <w:snapToGrid w:val="0"/>
          <w:color w:val="000000"/>
          <w:spacing w:val="6"/>
          <w:kern w:val="0"/>
          <w:szCs w:val="21"/>
        </w:rPr>
      </w:pPr>
      <w:r>
        <w:rPr>
          <w:rFonts w:ascii="黑体" w:hAnsi="黑体" w:eastAsia="黑体" w:cs="黑体"/>
          <w:snapToGrid w:val="0"/>
          <w:color w:val="000000"/>
          <w:spacing w:val="6"/>
          <w:kern w:val="0"/>
          <w:szCs w:val="21"/>
        </w:rPr>
        <w:t xml:space="preserve">2 </w:t>
      </w:r>
      <w:r>
        <w:rPr>
          <w:rFonts w:hint="eastAsia" w:ascii="黑体" w:hAnsi="黑体" w:eastAsia="黑体" w:cs="黑体"/>
          <w:snapToGrid w:val="0"/>
          <w:color w:val="000000"/>
          <w:spacing w:val="6"/>
          <w:kern w:val="0"/>
          <w:szCs w:val="21"/>
        </w:rPr>
        <w:t>检验依据</w:t>
      </w:r>
    </w:p>
    <w:p w14:paraId="34327CC9">
      <w:pPr>
        <w:jc w:val="center"/>
        <w:rPr>
          <w:rFonts w:ascii="黑体" w:hAnsi="黑体" w:eastAsia="黑体" w:cs="黑体"/>
          <w:szCs w:val="24"/>
        </w:rPr>
      </w:pPr>
      <w:r>
        <w:rPr>
          <w:rFonts w:hint="eastAsia" w:ascii="黑体" w:hAnsi="黑体" w:eastAsia="黑体" w:cs="黑体"/>
          <w:szCs w:val="24"/>
        </w:rPr>
        <w:t>表</w:t>
      </w:r>
      <w:r>
        <w:rPr>
          <w:rFonts w:ascii="黑体" w:hAnsi="黑体" w:eastAsia="黑体" w:cs="黑体"/>
          <w:szCs w:val="24"/>
        </w:rPr>
        <w:t xml:space="preserve">1 </w:t>
      </w:r>
      <w:r>
        <w:rPr>
          <w:rFonts w:hint="eastAsia" w:ascii="黑体" w:hAnsi="黑体" w:eastAsia="黑体" w:cs="黑体"/>
          <w:szCs w:val="24"/>
        </w:rPr>
        <w:t>尿素</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536"/>
        <w:gridCol w:w="3169"/>
      </w:tblGrid>
      <w:tr w14:paraId="2C25C4C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817" w:type="dxa"/>
            <w:vAlign w:val="center"/>
          </w:tcPr>
          <w:p w14:paraId="245426EC">
            <w:pPr>
              <w:autoSpaceDE w:val="0"/>
              <w:autoSpaceDN w:val="0"/>
              <w:adjustRightInd w:val="0"/>
              <w:jc w:val="center"/>
              <w:rPr>
                <w:rFonts w:cs="黑体" w:asciiTheme="minorEastAsia" w:hAnsiTheme="minorEastAsia"/>
                <w:kern w:val="0"/>
                <w:szCs w:val="21"/>
              </w:rPr>
            </w:pPr>
            <w:r>
              <w:rPr>
                <w:rFonts w:hint="eastAsia" w:cs="黑体" w:asciiTheme="minorEastAsia" w:hAnsiTheme="minorEastAsia"/>
                <w:kern w:val="0"/>
                <w:szCs w:val="21"/>
              </w:rPr>
              <w:t>序号</w:t>
            </w:r>
          </w:p>
        </w:tc>
        <w:tc>
          <w:tcPr>
            <w:tcW w:w="4536" w:type="dxa"/>
            <w:vAlign w:val="center"/>
          </w:tcPr>
          <w:p w14:paraId="75552329">
            <w:pPr>
              <w:autoSpaceDE w:val="0"/>
              <w:autoSpaceDN w:val="0"/>
              <w:adjustRightInd w:val="0"/>
              <w:jc w:val="center"/>
              <w:rPr>
                <w:rFonts w:cs="黑体" w:asciiTheme="minorEastAsia" w:hAnsiTheme="minorEastAsia"/>
                <w:kern w:val="0"/>
                <w:szCs w:val="21"/>
              </w:rPr>
            </w:pPr>
            <w:r>
              <w:rPr>
                <w:rFonts w:hint="eastAsia" w:cs="黑体" w:asciiTheme="minorEastAsia" w:hAnsiTheme="minorEastAsia"/>
                <w:kern w:val="0"/>
                <w:szCs w:val="21"/>
              </w:rPr>
              <w:t>检验项目</w:t>
            </w:r>
          </w:p>
        </w:tc>
        <w:tc>
          <w:tcPr>
            <w:tcW w:w="3169" w:type="dxa"/>
            <w:vAlign w:val="center"/>
          </w:tcPr>
          <w:p w14:paraId="045AD2C3">
            <w:pPr>
              <w:autoSpaceDE w:val="0"/>
              <w:autoSpaceDN w:val="0"/>
              <w:adjustRightInd w:val="0"/>
              <w:jc w:val="center"/>
              <w:rPr>
                <w:rFonts w:cs="黑体" w:asciiTheme="minorEastAsia" w:hAnsiTheme="minorEastAsia"/>
                <w:kern w:val="0"/>
                <w:szCs w:val="21"/>
              </w:rPr>
            </w:pPr>
            <w:r>
              <w:rPr>
                <w:rFonts w:hint="eastAsia" w:cs="黑体" w:asciiTheme="minorEastAsia" w:hAnsiTheme="minorEastAsia"/>
                <w:kern w:val="0"/>
                <w:szCs w:val="21"/>
              </w:rPr>
              <w:t>检验方法</w:t>
            </w:r>
          </w:p>
        </w:tc>
      </w:tr>
      <w:tr w14:paraId="37AB0D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817" w:type="dxa"/>
            <w:vAlign w:val="center"/>
          </w:tcPr>
          <w:p w14:paraId="7F7B885A">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1</w:t>
            </w:r>
          </w:p>
        </w:tc>
        <w:tc>
          <w:tcPr>
            <w:tcW w:w="4536" w:type="dxa"/>
            <w:vAlign w:val="center"/>
          </w:tcPr>
          <w:p w14:paraId="53120029">
            <w:pPr>
              <w:jc w:val="center"/>
              <w:rPr>
                <w:rFonts w:cs="宋体" w:asciiTheme="minorEastAsia" w:hAnsiTheme="minorEastAsia"/>
                <w:szCs w:val="21"/>
              </w:rPr>
            </w:pPr>
            <w:r>
              <w:rPr>
                <w:rFonts w:hint="eastAsia" w:asciiTheme="minorEastAsia" w:hAnsiTheme="minorEastAsia"/>
                <w:szCs w:val="21"/>
              </w:rPr>
              <w:t>外观</w:t>
            </w:r>
          </w:p>
        </w:tc>
        <w:tc>
          <w:tcPr>
            <w:tcW w:w="3169" w:type="dxa"/>
            <w:vAlign w:val="center"/>
          </w:tcPr>
          <w:p w14:paraId="71989205">
            <w:pPr>
              <w:jc w:val="center"/>
              <w:rPr>
                <w:rFonts w:cs="宋体" w:asciiTheme="minorEastAsia" w:hAnsiTheme="minorEastAsia"/>
                <w:szCs w:val="21"/>
              </w:rPr>
            </w:pPr>
            <w:r>
              <w:rPr>
                <w:rFonts w:hint="eastAsia" w:asciiTheme="minorEastAsia" w:hAnsiTheme="minorEastAsia"/>
                <w:szCs w:val="21"/>
              </w:rPr>
              <w:t>GB/T 2440-2017</w:t>
            </w:r>
          </w:p>
        </w:tc>
      </w:tr>
      <w:tr w14:paraId="4B79C3B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817" w:type="dxa"/>
            <w:vAlign w:val="center"/>
          </w:tcPr>
          <w:p w14:paraId="2A101DA2">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2</w:t>
            </w:r>
          </w:p>
        </w:tc>
        <w:tc>
          <w:tcPr>
            <w:tcW w:w="4536" w:type="dxa"/>
            <w:vAlign w:val="center"/>
          </w:tcPr>
          <w:p w14:paraId="3B8E09E7">
            <w:pPr>
              <w:jc w:val="center"/>
              <w:rPr>
                <w:rFonts w:cs="宋体" w:asciiTheme="minorEastAsia" w:hAnsiTheme="minorEastAsia"/>
                <w:szCs w:val="21"/>
              </w:rPr>
            </w:pPr>
            <w:r>
              <w:rPr>
                <w:rFonts w:hint="eastAsia" w:asciiTheme="minorEastAsia" w:hAnsiTheme="minorEastAsia"/>
                <w:szCs w:val="21"/>
              </w:rPr>
              <w:t>总氮（N）的质量分数</w:t>
            </w:r>
          </w:p>
        </w:tc>
        <w:tc>
          <w:tcPr>
            <w:tcW w:w="3169" w:type="dxa"/>
            <w:vAlign w:val="center"/>
          </w:tcPr>
          <w:p w14:paraId="13F7C4F3">
            <w:pPr>
              <w:jc w:val="center"/>
              <w:rPr>
                <w:rFonts w:cs="宋体" w:asciiTheme="minorEastAsia" w:hAnsiTheme="minorEastAsia"/>
                <w:szCs w:val="21"/>
              </w:rPr>
            </w:pPr>
            <w:r>
              <w:rPr>
                <w:rFonts w:hint="eastAsia" w:asciiTheme="minorEastAsia" w:hAnsiTheme="minorEastAsia"/>
                <w:szCs w:val="21"/>
              </w:rPr>
              <w:t>GB/T 2441.1-2008</w:t>
            </w:r>
          </w:p>
        </w:tc>
      </w:tr>
      <w:tr w14:paraId="430EB0A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817" w:type="dxa"/>
            <w:vAlign w:val="center"/>
          </w:tcPr>
          <w:p w14:paraId="19CC47A2">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3</w:t>
            </w:r>
          </w:p>
        </w:tc>
        <w:tc>
          <w:tcPr>
            <w:tcW w:w="4536" w:type="dxa"/>
            <w:vAlign w:val="center"/>
          </w:tcPr>
          <w:p w14:paraId="3F0B69A2">
            <w:pPr>
              <w:jc w:val="center"/>
              <w:rPr>
                <w:rFonts w:cs="宋体" w:asciiTheme="minorEastAsia" w:hAnsiTheme="minorEastAsia"/>
                <w:szCs w:val="21"/>
              </w:rPr>
            </w:pPr>
            <w:r>
              <w:rPr>
                <w:rFonts w:hint="eastAsia" w:asciiTheme="minorEastAsia" w:hAnsiTheme="minorEastAsia"/>
                <w:szCs w:val="21"/>
              </w:rPr>
              <w:t>缩二脲的质量分数</w:t>
            </w:r>
          </w:p>
        </w:tc>
        <w:tc>
          <w:tcPr>
            <w:tcW w:w="3169" w:type="dxa"/>
            <w:vAlign w:val="center"/>
          </w:tcPr>
          <w:p w14:paraId="0DE78889">
            <w:pPr>
              <w:jc w:val="center"/>
              <w:rPr>
                <w:rFonts w:cs="宋体" w:asciiTheme="minorEastAsia" w:hAnsiTheme="minorEastAsia"/>
                <w:szCs w:val="21"/>
              </w:rPr>
            </w:pPr>
            <w:r>
              <w:rPr>
                <w:rFonts w:hint="eastAsia" w:asciiTheme="minorEastAsia" w:hAnsiTheme="minorEastAsia"/>
                <w:szCs w:val="21"/>
              </w:rPr>
              <w:t>GB/T 2441.2-2010</w:t>
            </w:r>
          </w:p>
        </w:tc>
      </w:tr>
      <w:tr w14:paraId="0E6E0AC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817" w:type="dxa"/>
            <w:vAlign w:val="center"/>
          </w:tcPr>
          <w:p w14:paraId="5FED23EF">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4</w:t>
            </w:r>
          </w:p>
        </w:tc>
        <w:tc>
          <w:tcPr>
            <w:tcW w:w="4536" w:type="dxa"/>
            <w:vAlign w:val="center"/>
          </w:tcPr>
          <w:p w14:paraId="6C1A2EE3">
            <w:pPr>
              <w:jc w:val="center"/>
              <w:rPr>
                <w:rFonts w:cs="宋体" w:asciiTheme="minorEastAsia" w:hAnsiTheme="minorEastAsia"/>
                <w:szCs w:val="21"/>
              </w:rPr>
            </w:pPr>
            <w:r>
              <w:rPr>
                <w:rFonts w:hint="eastAsia" w:asciiTheme="minorEastAsia" w:hAnsiTheme="minorEastAsia"/>
                <w:szCs w:val="21"/>
              </w:rPr>
              <w:t>亚甲基二脲（以HCHO计）的质量分数</w:t>
            </w:r>
          </w:p>
        </w:tc>
        <w:tc>
          <w:tcPr>
            <w:tcW w:w="3169" w:type="dxa"/>
            <w:vAlign w:val="center"/>
          </w:tcPr>
          <w:p w14:paraId="0F8DEFB2">
            <w:pPr>
              <w:jc w:val="center"/>
              <w:rPr>
                <w:rFonts w:cs="宋体" w:asciiTheme="minorEastAsia" w:hAnsiTheme="minorEastAsia"/>
                <w:szCs w:val="21"/>
              </w:rPr>
            </w:pPr>
            <w:r>
              <w:rPr>
                <w:rFonts w:hint="eastAsia" w:asciiTheme="minorEastAsia" w:hAnsiTheme="minorEastAsia"/>
                <w:szCs w:val="21"/>
              </w:rPr>
              <w:t>GB/T 2441.9-2010</w:t>
            </w:r>
          </w:p>
        </w:tc>
      </w:tr>
    </w:tbl>
    <w:p w14:paraId="68C7BFDD">
      <w:pPr>
        <w:autoSpaceDE w:val="0"/>
        <w:autoSpaceDN w:val="0"/>
        <w:adjustRightInd w:val="0"/>
        <w:jc w:val="center"/>
        <w:rPr>
          <w:rFonts w:cs="黑体" w:asciiTheme="minorEastAsia" w:hAnsiTheme="minorEastAsia"/>
          <w:kern w:val="0"/>
          <w:szCs w:val="21"/>
        </w:rPr>
      </w:pPr>
    </w:p>
    <w:p w14:paraId="1A9C7EE2">
      <w:pPr>
        <w:jc w:val="center"/>
        <w:rPr>
          <w:rFonts w:ascii="黑体" w:hAnsi="黑体" w:eastAsia="黑体" w:cs="黑体"/>
          <w:szCs w:val="24"/>
        </w:rPr>
      </w:pPr>
      <w:r>
        <w:rPr>
          <w:rFonts w:hint="eastAsia" w:ascii="黑体" w:hAnsi="黑体" w:eastAsia="黑体" w:cs="黑体"/>
          <w:szCs w:val="24"/>
        </w:rPr>
        <w:t>表2 肥料级硫酸铵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536"/>
        <w:gridCol w:w="3169"/>
      </w:tblGrid>
      <w:tr w14:paraId="4E1BA6C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817" w:type="dxa"/>
            <w:vAlign w:val="center"/>
          </w:tcPr>
          <w:p w14:paraId="49FC9EC5">
            <w:pPr>
              <w:autoSpaceDE w:val="0"/>
              <w:autoSpaceDN w:val="0"/>
              <w:adjustRightInd w:val="0"/>
              <w:jc w:val="center"/>
              <w:rPr>
                <w:rFonts w:cs="黑体" w:asciiTheme="minorEastAsia" w:hAnsiTheme="minorEastAsia"/>
                <w:kern w:val="0"/>
                <w:szCs w:val="21"/>
              </w:rPr>
            </w:pPr>
            <w:r>
              <w:rPr>
                <w:rFonts w:hint="eastAsia" w:cs="黑体" w:asciiTheme="minorEastAsia" w:hAnsiTheme="minorEastAsia"/>
                <w:kern w:val="0"/>
                <w:szCs w:val="21"/>
              </w:rPr>
              <w:t>序号</w:t>
            </w:r>
          </w:p>
        </w:tc>
        <w:tc>
          <w:tcPr>
            <w:tcW w:w="4536" w:type="dxa"/>
            <w:vAlign w:val="center"/>
          </w:tcPr>
          <w:p w14:paraId="3A52197F">
            <w:pPr>
              <w:autoSpaceDE w:val="0"/>
              <w:autoSpaceDN w:val="0"/>
              <w:adjustRightInd w:val="0"/>
              <w:jc w:val="center"/>
              <w:rPr>
                <w:rFonts w:cs="黑体" w:asciiTheme="minorEastAsia" w:hAnsiTheme="minorEastAsia"/>
                <w:kern w:val="0"/>
                <w:szCs w:val="21"/>
              </w:rPr>
            </w:pPr>
            <w:r>
              <w:rPr>
                <w:rFonts w:hint="eastAsia" w:cs="黑体" w:asciiTheme="minorEastAsia" w:hAnsiTheme="minorEastAsia"/>
                <w:kern w:val="0"/>
                <w:szCs w:val="21"/>
              </w:rPr>
              <w:t>检验项目</w:t>
            </w:r>
          </w:p>
        </w:tc>
        <w:tc>
          <w:tcPr>
            <w:tcW w:w="3169" w:type="dxa"/>
            <w:vAlign w:val="center"/>
          </w:tcPr>
          <w:p w14:paraId="72054726">
            <w:pPr>
              <w:autoSpaceDE w:val="0"/>
              <w:autoSpaceDN w:val="0"/>
              <w:adjustRightInd w:val="0"/>
              <w:jc w:val="center"/>
              <w:rPr>
                <w:rFonts w:cs="黑体" w:asciiTheme="minorEastAsia" w:hAnsiTheme="minorEastAsia"/>
                <w:kern w:val="0"/>
                <w:szCs w:val="21"/>
              </w:rPr>
            </w:pPr>
            <w:r>
              <w:rPr>
                <w:rFonts w:hint="eastAsia" w:cs="黑体" w:asciiTheme="minorEastAsia" w:hAnsiTheme="minorEastAsia"/>
                <w:kern w:val="0"/>
                <w:szCs w:val="21"/>
              </w:rPr>
              <w:t>检验方法</w:t>
            </w:r>
          </w:p>
        </w:tc>
      </w:tr>
      <w:tr w14:paraId="3A83CA4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817" w:type="dxa"/>
            <w:vAlign w:val="center"/>
          </w:tcPr>
          <w:p w14:paraId="14B4F087">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1</w:t>
            </w:r>
          </w:p>
        </w:tc>
        <w:tc>
          <w:tcPr>
            <w:tcW w:w="4536" w:type="dxa"/>
            <w:vAlign w:val="center"/>
          </w:tcPr>
          <w:p w14:paraId="7B2D83F2">
            <w:pPr>
              <w:jc w:val="center"/>
              <w:rPr>
                <w:rFonts w:cs="宋体" w:asciiTheme="minorEastAsia" w:hAnsiTheme="minorEastAsia"/>
                <w:szCs w:val="21"/>
              </w:rPr>
            </w:pPr>
            <w:r>
              <w:rPr>
                <w:rFonts w:hint="eastAsia" w:asciiTheme="minorEastAsia" w:hAnsiTheme="minorEastAsia"/>
                <w:szCs w:val="21"/>
              </w:rPr>
              <w:t>外观</w:t>
            </w:r>
          </w:p>
        </w:tc>
        <w:tc>
          <w:tcPr>
            <w:tcW w:w="3169" w:type="dxa"/>
            <w:vAlign w:val="center"/>
          </w:tcPr>
          <w:p w14:paraId="75077B9A">
            <w:pPr>
              <w:jc w:val="center"/>
              <w:rPr>
                <w:rFonts w:cs="宋体" w:asciiTheme="minorEastAsia" w:hAnsiTheme="minorEastAsia"/>
                <w:szCs w:val="21"/>
              </w:rPr>
            </w:pPr>
            <w:r>
              <w:rPr>
                <w:rFonts w:hint="eastAsia" w:asciiTheme="minorEastAsia" w:hAnsiTheme="minorEastAsia"/>
                <w:szCs w:val="21"/>
              </w:rPr>
              <w:t>GB/T 535-2020</w:t>
            </w:r>
          </w:p>
        </w:tc>
      </w:tr>
      <w:tr w14:paraId="3835BEC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817" w:type="dxa"/>
            <w:vAlign w:val="center"/>
          </w:tcPr>
          <w:p w14:paraId="6C328A28">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2</w:t>
            </w:r>
          </w:p>
        </w:tc>
        <w:tc>
          <w:tcPr>
            <w:tcW w:w="4536" w:type="dxa"/>
            <w:vAlign w:val="center"/>
          </w:tcPr>
          <w:p w14:paraId="1F9B3D3D">
            <w:pPr>
              <w:jc w:val="center"/>
              <w:rPr>
                <w:rFonts w:cs="宋体" w:asciiTheme="minorEastAsia" w:hAnsiTheme="minorEastAsia"/>
                <w:szCs w:val="21"/>
              </w:rPr>
            </w:pPr>
            <w:r>
              <w:rPr>
                <w:rFonts w:hint="eastAsia" w:asciiTheme="minorEastAsia" w:hAnsiTheme="minorEastAsia"/>
                <w:szCs w:val="21"/>
              </w:rPr>
              <w:t>氮（N）</w:t>
            </w:r>
          </w:p>
        </w:tc>
        <w:tc>
          <w:tcPr>
            <w:tcW w:w="3169" w:type="dxa"/>
            <w:vAlign w:val="center"/>
          </w:tcPr>
          <w:p w14:paraId="554E2FA0">
            <w:pPr>
              <w:jc w:val="center"/>
              <w:rPr>
                <w:rFonts w:cs="宋体" w:asciiTheme="minorEastAsia" w:hAnsiTheme="minorEastAsia"/>
                <w:szCs w:val="21"/>
              </w:rPr>
            </w:pPr>
            <w:r>
              <w:rPr>
                <w:rFonts w:hint="eastAsia" w:asciiTheme="minorEastAsia" w:hAnsiTheme="minorEastAsia"/>
                <w:szCs w:val="21"/>
              </w:rPr>
              <w:t>GB/T 535-2020</w:t>
            </w:r>
          </w:p>
        </w:tc>
      </w:tr>
      <w:tr w14:paraId="27BFEE3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817" w:type="dxa"/>
            <w:vAlign w:val="center"/>
          </w:tcPr>
          <w:p w14:paraId="4DC9A982">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3</w:t>
            </w:r>
          </w:p>
        </w:tc>
        <w:tc>
          <w:tcPr>
            <w:tcW w:w="4536" w:type="dxa"/>
            <w:vAlign w:val="center"/>
          </w:tcPr>
          <w:p w14:paraId="63F2B3A5">
            <w:pPr>
              <w:jc w:val="center"/>
              <w:rPr>
                <w:rFonts w:cs="宋体" w:asciiTheme="minorEastAsia" w:hAnsiTheme="minorEastAsia"/>
                <w:szCs w:val="21"/>
              </w:rPr>
            </w:pPr>
            <w:r>
              <w:rPr>
                <w:rFonts w:hint="eastAsia" w:asciiTheme="minorEastAsia" w:hAnsiTheme="minorEastAsia"/>
                <w:szCs w:val="21"/>
              </w:rPr>
              <w:t>水分（H</w:t>
            </w:r>
            <w:r>
              <w:rPr>
                <w:rFonts w:hint="eastAsia" w:asciiTheme="minorEastAsia" w:hAnsiTheme="minorEastAsia"/>
                <w:szCs w:val="21"/>
                <w:vertAlign w:val="subscript"/>
              </w:rPr>
              <w:t>2</w:t>
            </w:r>
            <w:r>
              <w:rPr>
                <w:rFonts w:hint="eastAsia" w:asciiTheme="minorEastAsia" w:hAnsiTheme="minorEastAsia"/>
                <w:szCs w:val="21"/>
              </w:rPr>
              <w:t>O）</w:t>
            </w:r>
          </w:p>
        </w:tc>
        <w:tc>
          <w:tcPr>
            <w:tcW w:w="3169" w:type="dxa"/>
            <w:vAlign w:val="center"/>
          </w:tcPr>
          <w:p w14:paraId="1CEADBF9">
            <w:pPr>
              <w:jc w:val="center"/>
              <w:rPr>
                <w:rFonts w:cs="宋体" w:asciiTheme="minorEastAsia" w:hAnsiTheme="minorEastAsia"/>
                <w:szCs w:val="21"/>
              </w:rPr>
            </w:pPr>
            <w:r>
              <w:rPr>
                <w:rFonts w:hint="eastAsia" w:asciiTheme="minorEastAsia" w:hAnsiTheme="minorEastAsia"/>
                <w:szCs w:val="21"/>
              </w:rPr>
              <w:t>GB/T 535-2020</w:t>
            </w:r>
          </w:p>
        </w:tc>
      </w:tr>
      <w:tr w14:paraId="1BB8273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817" w:type="dxa"/>
            <w:vAlign w:val="center"/>
          </w:tcPr>
          <w:p w14:paraId="1C6A3D3E">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4</w:t>
            </w:r>
          </w:p>
        </w:tc>
        <w:tc>
          <w:tcPr>
            <w:tcW w:w="4536" w:type="dxa"/>
            <w:vAlign w:val="center"/>
          </w:tcPr>
          <w:p w14:paraId="5614AF83">
            <w:pPr>
              <w:jc w:val="center"/>
              <w:rPr>
                <w:rFonts w:cs="宋体" w:asciiTheme="minorEastAsia" w:hAnsiTheme="minorEastAsia"/>
                <w:szCs w:val="21"/>
              </w:rPr>
            </w:pPr>
            <w:r>
              <w:rPr>
                <w:rFonts w:hint="eastAsia" w:asciiTheme="minorEastAsia" w:hAnsiTheme="minorEastAsia"/>
                <w:szCs w:val="21"/>
              </w:rPr>
              <w:t>游离酸（H</w:t>
            </w:r>
            <w:r>
              <w:rPr>
                <w:rFonts w:hint="eastAsia" w:asciiTheme="minorEastAsia" w:hAnsiTheme="minorEastAsia"/>
                <w:szCs w:val="21"/>
                <w:vertAlign w:val="subscript"/>
              </w:rPr>
              <w:t>2</w:t>
            </w:r>
            <w:r>
              <w:rPr>
                <w:rFonts w:hint="eastAsia" w:asciiTheme="minorEastAsia" w:hAnsiTheme="minorEastAsia"/>
                <w:szCs w:val="21"/>
              </w:rPr>
              <w:t>SO</w:t>
            </w:r>
            <w:r>
              <w:rPr>
                <w:rFonts w:hint="eastAsia" w:asciiTheme="minorEastAsia" w:hAnsiTheme="minorEastAsia"/>
                <w:szCs w:val="21"/>
                <w:vertAlign w:val="subscript"/>
              </w:rPr>
              <w:t>4</w:t>
            </w:r>
            <w:r>
              <w:rPr>
                <w:rFonts w:hint="eastAsia" w:asciiTheme="minorEastAsia" w:hAnsiTheme="minorEastAsia"/>
                <w:szCs w:val="21"/>
              </w:rPr>
              <w:t>）</w:t>
            </w:r>
          </w:p>
        </w:tc>
        <w:tc>
          <w:tcPr>
            <w:tcW w:w="3169" w:type="dxa"/>
            <w:vAlign w:val="center"/>
          </w:tcPr>
          <w:p w14:paraId="6DB22582">
            <w:pPr>
              <w:jc w:val="center"/>
              <w:rPr>
                <w:rFonts w:cs="宋体" w:asciiTheme="minorEastAsia" w:hAnsiTheme="minorEastAsia"/>
                <w:szCs w:val="21"/>
              </w:rPr>
            </w:pPr>
            <w:r>
              <w:rPr>
                <w:rFonts w:hint="eastAsia" w:asciiTheme="minorEastAsia" w:hAnsiTheme="minorEastAsia"/>
                <w:szCs w:val="21"/>
              </w:rPr>
              <w:t>GB/T 535-2020</w:t>
            </w:r>
          </w:p>
        </w:tc>
      </w:tr>
    </w:tbl>
    <w:p w14:paraId="6EE4191B">
      <w:pPr>
        <w:autoSpaceDE w:val="0"/>
        <w:autoSpaceDN w:val="0"/>
        <w:adjustRightInd w:val="0"/>
        <w:jc w:val="center"/>
        <w:rPr>
          <w:rFonts w:cs="黑体" w:asciiTheme="minorEastAsia" w:hAnsiTheme="minorEastAsia"/>
          <w:kern w:val="0"/>
          <w:szCs w:val="21"/>
        </w:rPr>
      </w:pPr>
    </w:p>
    <w:p w14:paraId="5FEAC5B5">
      <w:pPr>
        <w:jc w:val="center"/>
        <w:rPr>
          <w:rFonts w:ascii="黑体" w:hAnsi="黑体" w:eastAsia="黑体" w:cs="黑体"/>
          <w:szCs w:val="24"/>
        </w:rPr>
      </w:pPr>
      <w:r>
        <w:rPr>
          <w:rFonts w:hint="eastAsia" w:ascii="黑体" w:hAnsi="黑体" w:eastAsia="黑体" w:cs="黑体"/>
          <w:szCs w:val="24"/>
        </w:rPr>
        <w:t>表3</w:t>
      </w:r>
      <w:r>
        <w:rPr>
          <w:rFonts w:ascii="黑体" w:hAnsi="黑体" w:eastAsia="黑体" w:cs="黑体"/>
          <w:szCs w:val="24"/>
        </w:rPr>
        <w:t xml:space="preserve"> </w:t>
      </w:r>
      <w:r>
        <w:rPr>
          <w:rFonts w:hint="eastAsia" w:ascii="黑体" w:hAnsi="黑体" w:eastAsia="黑体" w:cs="黑体"/>
          <w:szCs w:val="24"/>
        </w:rPr>
        <w:t>农业用氯化铵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536"/>
        <w:gridCol w:w="3169"/>
      </w:tblGrid>
      <w:tr w14:paraId="1F80745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817" w:type="dxa"/>
            <w:vAlign w:val="center"/>
          </w:tcPr>
          <w:p w14:paraId="3811751F">
            <w:pPr>
              <w:autoSpaceDE w:val="0"/>
              <w:autoSpaceDN w:val="0"/>
              <w:adjustRightInd w:val="0"/>
              <w:jc w:val="center"/>
              <w:rPr>
                <w:rFonts w:cs="黑体" w:asciiTheme="minorEastAsia" w:hAnsiTheme="minorEastAsia"/>
                <w:kern w:val="0"/>
                <w:szCs w:val="21"/>
              </w:rPr>
            </w:pPr>
            <w:r>
              <w:rPr>
                <w:rFonts w:hint="eastAsia" w:cs="黑体" w:asciiTheme="minorEastAsia" w:hAnsiTheme="minorEastAsia"/>
                <w:kern w:val="0"/>
                <w:szCs w:val="21"/>
              </w:rPr>
              <w:t>序号</w:t>
            </w:r>
          </w:p>
        </w:tc>
        <w:tc>
          <w:tcPr>
            <w:tcW w:w="4536" w:type="dxa"/>
            <w:vAlign w:val="center"/>
          </w:tcPr>
          <w:p w14:paraId="55FFD411">
            <w:pPr>
              <w:autoSpaceDE w:val="0"/>
              <w:autoSpaceDN w:val="0"/>
              <w:adjustRightInd w:val="0"/>
              <w:jc w:val="center"/>
              <w:rPr>
                <w:rFonts w:cs="黑体" w:asciiTheme="minorEastAsia" w:hAnsiTheme="minorEastAsia"/>
                <w:kern w:val="0"/>
                <w:szCs w:val="21"/>
              </w:rPr>
            </w:pPr>
            <w:r>
              <w:rPr>
                <w:rFonts w:hint="eastAsia" w:cs="黑体" w:asciiTheme="minorEastAsia" w:hAnsiTheme="minorEastAsia"/>
                <w:kern w:val="0"/>
                <w:szCs w:val="21"/>
              </w:rPr>
              <w:t>检验项目</w:t>
            </w:r>
          </w:p>
        </w:tc>
        <w:tc>
          <w:tcPr>
            <w:tcW w:w="3169" w:type="dxa"/>
            <w:vAlign w:val="center"/>
          </w:tcPr>
          <w:p w14:paraId="42E17F53">
            <w:pPr>
              <w:autoSpaceDE w:val="0"/>
              <w:autoSpaceDN w:val="0"/>
              <w:adjustRightInd w:val="0"/>
              <w:jc w:val="center"/>
              <w:rPr>
                <w:rFonts w:cs="黑体" w:asciiTheme="minorEastAsia" w:hAnsiTheme="minorEastAsia"/>
                <w:kern w:val="0"/>
                <w:szCs w:val="21"/>
              </w:rPr>
            </w:pPr>
            <w:r>
              <w:rPr>
                <w:rFonts w:hint="eastAsia" w:cs="黑体" w:asciiTheme="minorEastAsia" w:hAnsiTheme="minorEastAsia"/>
                <w:kern w:val="0"/>
                <w:szCs w:val="21"/>
              </w:rPr>
              <w:t>检验方法</w:t>
            </w:r>
          </w:p>
        </w:tc>
      </w:tr>
      <w:tr w14:paraId="2BF9008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817" w:type="dxa"/>
            <w:vAlign w:val="center"/>
          </w:tcPr>
          <w:p w14:paraId="374138F2">
            <w:pPr>
              <w:autoSpaceDE w:val="0"/>
              <w:autoSpaceDN w:val="0"/>
              <w:adjustRightInd w:val="0"/>
              <w:jc w:val="center"/>
              <w:rPr>
                <w:rFonts w:cs="宋体" w:asciiTheme="minorEastAsia" w:hAnsiTheme="minorEastAsia"/>
                <w:kern w:val="0"/>
                <w:szCs w:val="21"/>
              </w:rPr>
            </w:pPr>
            <w:r>
              <w:rPr>
                <w:rFonts w:hint="eastAsia" w:cs="宋体" w:asciiTheme="minorEastAsia" w:hAnsiTheme="minorEastAsia"/>
                <w:kern w:val="0"/>
                <w:szCs w:val="21"/>
              </w:rPr>
              <w:t>1</w:t>
            </w:r>
          </w:p>
        </w:tc>
        <w:tc>
          <w:tcPr>
            <w:tcW w:w="4536" w:type="dxa"/>
            <w:vAlign w:val="center"/>
          </w:tcPr>
          <w:p w14:paraId="23A105C0">
            <w:pPr>
              <w:jc w:val="center"/>
              <w:rPr>
                <w:rFonts w:cs="宋体" w:asciiTheme="minorEastAsia" w:hAnsiTheme="minorEastAsia"/>
                <w:kern w:val="0"/>
                <w:szCs w:val="21"/>
              </w:rPr>
            </w:pPr>
            <w:r>
              <w:rPr>
                <w:rFonts w:hint="eastAsia" w:cs="宋体" w:asciiTheme="minorEastAsia" w:hAnsiTheme="minorEastAsia"/>
                <w:kern w:val="0"/>
                <w:szCs w:val="21"/>
              </w:rPr>
              <w:t>氮（</w:t>
            </w:r>
            <w:r>
              <w:rPr>
                <w:rFonts w:cs="宋体" w:asciiTheme="minorEastAsia" w:hAnsiTheme="minorEastAsia"/>
                <w:kern w:val="0"/>
                <w:szCs w:val="21"/>
              </w:rPr>
              <w:t>N</w:t>
            </w:r>
            <w:r>
              <w:rPr>
                <w:rFonts w:hint="eastAsia" w:cs="宋体" w:asciiTheme="minorEastAsia" w:hAnsiTheme="minorEastAsia"/>
                <w:kern w:val="0"/>
                <w:szCs w:val="21"/>
              </w:rPr>
              <w:t>）的质量分数</w:t>
            </w:r>
          </w:p>
        </w:tc>
        <w:tc>
          <w:tcPr>
            <w:tcW w:w="3169" w:type="dxa"/>
            <w:vAlign w:val="center"/>
          </w:tcPr>
          <w:p w14:paraId="3E15A551">
            <w:pPr>
              <w:jc w:val="center"/>
              <w:rPr>
                <w:rFonts w:asciiTheme="minorEastAsia" w:hAnsiTheme="minorEastAsia"/>
                <w:szCs w:val="21"/>
              </w:rPr>
            </w:pPr>
            <w:r>
              <w:rPr>
                <w:rFonts w:cs="宋体" w:asciiTheme="minorEastAsia" w:hAnsiTheme="minorEastAsia"/>
                <w:kern w:val="0"/>
                <w:szCs w:val="21"/>
              </w:rPr>
              <w:t>GB/T 2946</w:t>
            </w:r>
            <w:r>
              <w:rPr>
                <w:rFonts w:hint="eastAsia" w:cs="宋体" w:asciiTheme="minorEastAsia" w:hAnsiTheme="minorEastAsia"/>
                <w:kern w:val="0"/>
                <w:szCs w:val="21"/>
              </w:rPr>
              <w:t>-</w:t>
            </w:r>
            <w:r>
              <w:rPr>
                <w:rFonts w:cs="宋体" w:asciiTheme="minorEastAsia" w:hAnsiTheme="minorEastAsia"/>
                <w:kern w:val="0"/>
                <w:szCs w:val="21"/>
              </w:rPr>
              <w:t>2018</w:t>
            </w:r>
          </w:p>
        </w:tc>
      </w:tr>
    </w:tbl>
    <w:p w14:paraId="2960E18F">
      <w:pPr>
        <w:pStyle w:val="2"/>
        <w:widowControl/>
        <w:kinsoku w:val="0"/>
        <w:autoSpaceDE w:val="0"/>
        <w:autoSpaceDN w:val="0"/>
        <w:adjustRightInd w:val="0"/>
        <w:snapToGrid w:val="0"/>
        <w:spacing w:beforeLines="50" w:after="0" w:line="300" w:lineRule="exact"/>
        <w:ind w:firstLine="400" w:firstLineChars="200"/>
        <w:textAlignment w:val="baseline"/>
        <w:rPr>
          <w:rFonts w:ascii="宋体" w:hAnsi="宋体" w:cs="宋体"/>
          <w:snapToGrid w:val="0"/>
          <w:color w:val="000000"/>
          <w:kern w:val="0"/>
          <w:sz w:val="20"/>
          <w:szCs w:val="20"/>
        </w:rPr>
      </w:pPr>
      <w:r>
        <w:rPr>
          <w:rFonts w:hint="eastAsia" w:ascii="宋体" w:hAnsi="宋体" w:cs="宋体"/>
          <w:snapToGrid w:val="0"/>
          <w:color w:val="000000"/>
          <w:kern w:val="0"/>
          <w:sz w:val="20"/>
          <w:szCs w:val="20"/>
        </w:rPr>
        <w:t>注：1</w:t>
      </w:r>
      <w:r>
        <w:rPr>
          <w:rFonts w:ascii="宋体" w:hAnsi="宋体" w:cs="宋体"/>
          <w:snapToGrid w:val="0"/>
          <w:color w:val="000000"/>
          <w:kern w:val="0"/>
          <w:sz w:val="20"/>
          <w:szCs w:val="20"/>
        </w:rPr>
        <w:t>.</w:t>
      </w:r>
      <w:r>
        <w:rPr>
          <w:rFonts w:hint="eastAsia" w:ascii="宋体" w:hAnsi="宋体" w:cs="宋体"/>
          <w:snapToGrid w:val="0"/>
          <w:color w:val="000000"/>
          <w:kern w:val="0"/>
          <w:sz w:val="20"/>
          <w:szCs w:val="20"/>
        </w:rPr>
        <w:t>上表所列检验项目是有关法律法规、标准等规定的，重点涉及健康、安全、节能、环保以及消费者、有关组织反映有质量问题的重要项目。</w:t>
      </w:r>
    </w:p>
    <w:p w14:paraId="0C3B88EE">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hint="eastAsia" w:ascii="宋体" w:hAnsi="宋体" w:cs="宋体"/>
          <w:snapToGrid w:val="0"/>
          <w:color w:val="000000"/>
          <w:kern w:val="0"/>
          <w:sz w:val="20"/>
          <w:szCs w:val="20"/>
        </w:rPr>
        <w:t>2</w:t>
      </w:r>
      <w:r>
        <w:rPr>
          <w:rFonts w:ascii="宋体" w:hAnsi="宋体" w:cs="宋体"/>
          <w:snapToGrid w:val="0"/>
          <w:color w:val="000000"/>
          <w:kern w:val="0"/>
          <w:sz w:val="20"/>
          <w:szCs w:val="20"/>
        </w:rPr>
        <w:t>.</w:t>
      </w:r>
      <w:r>
        <w:rPr>
          <w:rFonts w:hint="eastAsia" w:ascii="宋体" w:hAnsi="宋体" w:cs="宋体"/>
          <w:snapToGrid w:val="0"/>
          <w:color w:val="000000"/>
          <w:kern w:val="0"/>
          <w:sz w:val="20"/>
          <w:szCs w:val="20"/>
        </w:rPr>
        <w:t>检验方法包括相关产品标准及试验方法标准。</w:t>
      </w:r>
    </w:p>
    <w:p w14:paraId="7E2BE97C">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hint="eastAsia" w:ascii="宋体" w:hAnsi="宋体" w:cs="宋体"/>
          <w:snapToGrid w:val="0"/>
          <w:color w:val="000000"/>
          <w:kern w:val="0"/>
          <w:sz w:val="20"/>
          <w:szCs w:val="20"/>
        </w:rPr>
        <w:t>3</w:t>
      </w:r>
      <w:r>
        <w:rPr>
          <w:rFonts w:ascii="宋体" w:hAnsi="宋体" w:cs="宋体"/>
          <w:snapToGrid w:val="0"/>
          <w:color w:val="000000"/>
          <w:kern w:val="0"/>
          <w:sz w:val="20"/>
          <w:szCs w:val="20"/>
        </w:rPr>
        <w:t>.</w:t>
      </w:r>
      <w:r>
        <w:rPr>
          <w:rFonts w:hint="eastAsia" w:ascii="宋体" w:hAnsi="宋体" w:cs="宋体"/>
          <w:snapToGrid w:val="0"/>
          <w:color w:val="000000"/>
          <w:kern w:val="0"/>
          <w:sz w:val="20"/>
          <w:szCs w:val="20"/>
        </w:rPr>
        <w:t>凡是注日期的文件，其随后所有的修改单（不包括勘误的内容）或修订版不适用于本细则。凡是不注日期的文件，其最新版本适用于本细则。</w:t>
      </w:r>
    </w:p>
    <w:p w14:paraId="227E26D4">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hint="eastAsia" w:ascii="宋体" w:hAnsi="宋体" w:cs="宋体"/>
          <w:snapToGrid w:val="0"/>
          <w:color w:val="000000"/>
          <w:kern w:val="0"/>
          <w:sz w:val="20"/>
          <w:szCs w:val="20"/>
        </w:rPr>
        <w:t>4</w:t>
      </w:r>
      <w:r>
        <w:rPr>
          <w:rFonts w:ascii="宋体" w:hAnsi="宋体" w:cs="宋体"/>
          <w:snapToGrid w:val="0"/>
          <w:color w:val="000000"/>
          <w:kern w:val="0"/>
          <w:sz w:val="20"/>
          <w:szCs w:val="20"/>
        </w:rPr>
        <w:t>.</w:t>
      </w:r>
      <w:r>
        <w:rPr>
          <w:rFonts w:hint="eastAsia" w:ascii="宋体" w:hAnsi="宋体" w:cs="宋体"/>
          <w:snapToGrid w:val="0"/>
          <w:color w:val="000000"/>
          <w:kern w:val="0"/>
          <w:sz w:val="20"/>
          <w:szCs w:val="20"/>
        </w:rPr>
        <w:t>执行企业标准、团体标准、地方标准的产品，检验项目参照上述内容执行。</w:t>
      </w:r>
    </w:p>
    <w:p w14:paraId="2DBBCB67">
      <w:pPr>
        <w:autoSpaceDE w:val="0"/>
        <w:autoSpaceDN w:val="0"/>
        <w:adjustRightInd w:val="0"/>
        <w:ind w:firstLine="420" w:firstLineChars="200"/>
        <w:jc w:val="left"/>
        <w:rPr>
          <w:rFonts w:ascii="宋体" w:eastAsia="宋体" w:cs="宋体"/>
          <w:kern w:val="0"/>
          <w:szCs w:val="21"/>
        </w:rPr>
      </w:pPr>
    </w:p>
    <w:p w14:paraId="212513B9">
      <w:pPr>
        <w:autoSpaceDE w:val="0"/>
        <w:autoSpaceDN w:val="0"/>
        <w:adjustRightInd w:val="0"/>
        <w:jc w:val="left"/>
        <w:rPr>
          <w:rFonts w:ascii="黑体" w:eastAsia="黑体" w:cs="黑体"/>
          <w:kern w:val="0"/>
          <w:szCs w:val="21"/>
        </w:rPr>
      </w:pPr>
      <w:r>
        <w:rPr>
          <w:rFonts w:ascii="黑体" w:eastAsia="黑体" w:cs="黑体"/>
          <w:kern w:val="0"/>
          <w:szCs w:val="21"/>
        </w:rPr>
        <w:t xml:space="preserve">3 </w:t>
      </w:r>
      <w:r>
        <w:rPr>
          <w:rFonts w:hint="eastAsia" w:ascii="黑体" w:eastAsia="黑体" w:cs="黑体"/>
          <w:kern w:val="0"/>
          <w:szCs w:val="21"/>
        </w:rPr>
        <w:t>判定规则</w:t>
      </w:r>
    </w:p>
    <w:p w14:paraId="70C7DC01">
      <w:pPr>
        <w:widowControl/>
        <w:kinsoku w:val="0"/>
        <w:autoSpaceDE w:val="0"/>
        <w:autoSpaceDN w:val="0"/>
        <w:adjustRightInd w:val="0"/>
        <w:snapToGrid w:val="0"/>
        <w:spacing w:beforeLines="50"/>
        <w:ind w:left="34"/>
        <w:jc w:val="left"/>
        <w:textAlignment w:val="baseline"/>
        <w:rPr>
          <w:rFonts w:ascii="黑体" w:hAnsi="黑体" w:eastAsia="黑体" w:cs="黑体"/>
          <w:snapToGrid w:val="0"/>
          <w:color w:val="000000"/>
          <w:spacing w:val="5"/>
          <w:kern w:val="0"/>
          <w:szCs w:val="21"/>
        </w:rPr>
      </w:pPr>
      <w:r>
        <w:rPr>
          <w:rFonts w:ascii="黑体" w:hAnsi="黑体" w:eastAsia="黑体" w:cs="黑体"/>
          <w:snapToGrid w:val="0"/>
          <w:color w:val="000000"/>
          <w:spacing w:val="5"/>
          <w:kern w:val="0"/>
          <w:szCs w:val="21"/>
        </w:rPr>
        <w:t xml:space="preserve">3.1 </w:t>
      </w:r>
      <w:r>
        <w:rPr>
          <w:rFonts w:hint="eastAsia" w:ascii="黑体" w:hAnsi="黑体" w:eastAsia="黑体" w:cs="黑体"/>
          <w:snapToGrid w:val="0"/>
          <w:color w:val="000000"/>
          <w:spacing w:val="5"/>
          <w:kern w:val="0"/>
          <w:szCs w:val="21"/>
        </w:rPr>
        <w:t>依据标准</w:t>
      </w:r>
    </w:p>
    <w:p w14:paraId="181E4869">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GB/T 2440-2017尿素</w:t>
      </w:r>
    </w:p>
    <w:p w14:paraId="0796CE77">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GB/T 535-2020肥料级硫酸铵</w:t>
      </w:r>
    </w:p>
    <w:p w14:paraId="6A7D8EEB">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ascii="宋体" w:hAnsi="宋体" w:cs="宋体"/>
          <w:snapToGrid w:val="0"/>
          <w:color w:val="000000"/>
          <w:spacing w:val="7"/>
          <w:kern w:val="0"/>
        </w:rPr>
        <w:t xml:space="preserve">GB/T 2946-2018 </w:t>
      </w:r>
      <w:r>
        <w:rPr>
          <w:rFonts w:hint="eastAsia" w:ascii="宋体" w:hAnsi="宋体" w:cs="宋体"/>
          <w:snapToGrid w:val="0"/>
          <w:color w:val="000000"/>
          <w:spacing w:val="7"/>
          <w:kern w:val="0"/>
        </w:rPr>
        <w:t>氯化铵</w:t>
      </w:r>
    </w:p>
    <w:p w14:paraId="0CFF31D6">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现行有效的企业标准、团体标准、地方标准及产品明示质量要求。</w:t>
      </w:r>
    </w:p>
    <w:p w14:paraId="104748C5">
      <w:pPr>
        <w:widowControl/>
        <w:kinsoku w:val="0"/>
        <w:autoSpaceDE w:val="0"/>
        <w:autoSpaceDN w:val="0"/>
        <w:adjustRightInd w:val="0"/>
        <w:snapToGrid w:val="0"/>
        <w:spacing w:beforeLines="50"/>
        <w:ind w:left="34"/>
        <w:jc w:val="left"/>
        <w:textAlignment w:val="baseline"/>
        <w:rPr>
          <w:rFonts w:ascii="黑体" w:hAnsi="黑体" w:eastAsia="黑体" w:cs="黑体"/>
          <w:snapToGrid w:val="0"/>
          <w:color w:val="000000"/>
          <w:spacing w:val="5"/>
          <w:kern w:val="0"/>
          <w:szCs w:val="21"/>
        </w:rPr>
      </w:pPr>
      <w:r>
        <w:rPr>
          <w:rFonts w:ascii="黑体" w:hAnsi="黑体" w:eastAsia="黑体" w:cs="黑体"/>
          <w:snapToGrid w:val="0"/>
          <w:color w:val="000000"/>
          <w:spacing w:val="5"/>
          <w:kern w:val="0"/>
          <w:szCs w:val="21"/>
        </w:rPr>
        <w:t xml:space="preserve">3.2 </w:t>
      </w:r>
      <w:r>
        <w:rPr>
          <w:rFonts w:hint="eastAsia" w:ascii="黑体" w:hAnsi="黑体" w:eastAsia="黑体" w:cs="黑体"/>
          <w:snapToGrid w:val="0"/>
          <w:color w:val="000000"/>
          <w:spacing w:val="5"/>
          <w:kern w:val="0"/>
          <w:szCs w:val="21"/>
        </w:rPr>
        <w:t>判定原则</w:t>
      </w:r>
    </w:p>
    <w:p w14:paraId="1884AEBC">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经检验，检验项目全部合格，判定为被抽查产品未发现不合格；检验项目中任一项或一项以上不合格，判定为被抽查产品不合格。</w:t>
      </w:r>
    </w:p>
    <w:p w14:paraId="3B1BEBA6">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若被检产品明示的质量要求高于本细则中检验项目依据的标准要求时，应按被检产品明示的质量要求判定。</w:t>
      </w:r>
    </w:p>
    <w:p w14:paraId="1DB31A29">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若被检产品明示的质量要求低于本细则中检验项目依据的强制性标准要求时，应按照强制性标准要求判定。</w:t>
      </w:r>
    </w:p>
    <w:p w14:paraId="7179D6FA">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若被检产品明示的质量要求低于或包含细则中检验项目依据的推荐性标准要求时，应以被检产品明示的质量要求判定，但应在检验报告备注中进行说明。</w:t>
      </w:r>
    </w:p>
    <w:p w14:paraId="14E0137F">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若被检产品明示的质量要求缺少本细则中检验项目依据的强制性标准要求时，应按照强制性标准要求判定。</w:t>
      </w:r>
    </w:p>
    <w:p w14:paraId="053C5FAC">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若被检产品明示的质量要求缺少本细则中检验项目依据的推荐性标准要求时，该项目不参与判定，但应在检验报告备注中进行说明。</w:t>
      </w:r>
    </w:p>
    <w:p w14:paraId="16AFFDAD">
      <w:pPr>
        <w:autoSpaceDE w:val="0"/>
        <w:autoSpaceDN w:val="0"/>
        <w:adjustRightInd w:val="0"/>
        <w:jc w:val="left"/>
        <w:rPr>
          <w:rFonts w:ascii="宋体" w:eastAsia="宋体" w:cs="宋体"/>
          <w:kern w:val="0"/>
          <w:szCs w:val="21"/>
        </w:rPr>
      </w:pPr>
    </w:p>
    <w:sectPr>
      <w:headerReference r:id="rId3" w:type="default"/>
      <w:footerReference r:id="rId4" w:type="default"/>
      <w:pgSz w:w="11906" w:h="16838"/>
      <w:pgMar w:top="1701" w:right="1588"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64B7A7">
    <w:pPr>
      <w:pStyle w:val="3"/>
      <w:jc w:val="center"/>
      <w:rPr>
        <w:lang w:val="zh-CN"/>
      </w:rPr>
    </w:pPr>
  </w:p>
  <w:p w14:paraId="22C06AEF">
    <w:pPr>
      <w:pStyle w:val="3"/>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t>1</w:t>
    </w:r>
    <w:r>
      <w:rPr>
        <w:lang w:val="zh-CN"/>
      </w:rPr>
      <w:fldChar w:fldCharType="end"/>
    </w:r>
    <w:r>
      <w:rPr>
        <w:rFonts w:hint="eastAsia"/>
        <w:lang w:val="zh-CN"/>
      </w:rPr>
      <w:t>页 共2页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1A609A">
    <w:pPr>
      <w:jc w:val="right"/>
      <w:rPr>
        <w:rFonts w:ascii="Times New Roman" w:hAnsi="Times New Roman" w:eastAsia="华文中宋" w:cs="Times New Roman"/>
        <w:b/>
        <w:sz w:val="24"/>
        <w:szCs w:val="24"/>
      </w:rPr>
    </w:pPr>
    <w:r>
      <w:rPr>
        <w:rFonts w:ascii="Times New Roman" w:hAnsi="Times New Roman" w:eastAsia="华文中宋" w:cs="Times New Roman"/>
        <w:b/>
        <w:snapToGrid w:val="0"/>
        <w:sz w:val="24"/>
        <w:szCs w:val="24"/>
      </w:rPr>
      <w:t>DZSJDCC202</w:t>
    </w:r>
    <w:r>
      <w:rPr>
        <w:rFonts w:hint="eastAsia" w:ascii="Times New Roman" w:hAnsi="Times New Roman" w:eastAsia="华文中宋" w:cs="Times New Roman"/>
        <w:b/>
        <w:snapToGrid w:val="0"/>
        <w:sz w:val="24"/>
        <w:szCs w:val="24"/>
      </w:rPr>
      <w:t>6</w:t>
    </w:r>
    <w:r>
      <w:rPr>
        <w:rFonts w:ascii="Times New Roman" w:hAnsi="Times New Roman" w:eastAsia="华文中宋" w:cs="Times New Roman"/>
        <w:b/>
        <w:snapToGrid w:val="0"/>
        <w:sz w:val="24"/>
        <w:szCs w:val="24"/>
      </w:rPr>
      <w:t>年00</w:t>
    </w:r>
    <w:r>
      <w:rPr>
        <w:rFonts w:hint="eastAsia" w:ascii="Times New Roman" w:hAnsi="Times New Roman" w:eastAsia="华文中宋" w:cs="Times New Roman"/>
        <w:b/>
        <w:snapToGrid w:val="0"/>
        <w:sz w:val="24"/>
        <w:szCs w:val="24"/>
      </w:rPr>
      <w:t>8</w:t>
    </w:r>
  </w:p>
  <w:p w14:paraId="038C33D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F209E"/>
    <w:rsid w:val="00022A3B"/>
    <w:rsid w:val="000575B8"/>
    <w:rsid w:val="0005791C"/>
    <w:rsid w:val="000702D6"/>
    <w:rsid w:val="000F209E"/>
    <w:rsid w:val="00117912"/>
    <w:rsid w:val="00227D10"/>
    <w:rsid w:val="003E2A2B"/>
    <w:rsid w:val="003E7796"/>
    <w:rsid w:val="00426896"/>
    <w:rsid w:val="00442025"/>
    <w:rsid w:val="004870F5"/>
    <w:rsid w:val="004D72A0"/>
    <w:rsid w:val="00553AD4"/>
    <w:rsid w:val="00554A47"/>
    <w:rsid w:val="005A0CE7"/>
    <w:rsid w:val="005D650C"/>
    <w:rsid w:val="00603CAA"/>
    <w:rsid w:val="006073D7"/>
    <w:rsid w:val="0069522B"/>
    <w:rsid w:val="006C5171"/>
    <w:rsid w:val="00765284"/>
    <w:rsid w:val="007B3CE3"/>
    <w:rsid w:val="007C0807"/>
    <w:rsid w:val="007C230F"/>
    <w:rsid w:val="007F3393"/>
    <w:rsid w:val="00854AF5"/>
    <w:rsid w:val="008A1166"/>
    <w:rsid w:val="009267B9"/>
    <w:rsid w:val="00A04154"/>
    <w:rsid w:val="00A14A9B"/>
    <w:rsid w:val="00B112D2"/>
    <w:rsid w:val="00BB47BE"/>
    <w:rsid w:val="00C21C3C"/>
    <w:rsid w:val="00C26A7A"/>
    <w:rsid w:val="00C70E26"/>
    <w:rsid w:val="00C8669A"/>
    <w:rsid w:val="00C91EAA"/>
    <w:rsid w:val="00D152B7"/>
    <w:rsid w:val="00DC5780"/>
    <w:rsid w:val="00DF7A19"/>
    <w:rsid w:val="00E72930"/>
    <w:rsid w:val="00EB52A0"/>
    <w:rsid w:val="00ED1E67"/>
    <w:rsid w:val="00EE7375"/>
    <w:rsid w:val="00F26B27"/>
    <w:rsid w:val="00F3458A"/>
    <w:rsid w:val="00F352E6"/>
    <w:rsid w:val="00FD3754"/>
    <w:rsid w:val="654C56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0"/>
    <w:unhideWhenUsed/>
    <w:qFormat/>
    <w:uiPriority w:val="0"/>
    <w:pPr>
      <w:spacing w:after="120"/>
    </w:pPr>
    <w:rPr>
      <w:rFonts w:ascii="Calibri" w:hAnsi="Calibri" w:eastAsia="宋体" w:cs="Calibri"/>
      <w:szCs w:val="21"/>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页眉 Char"/>
    <w:basedOn w:val="7"/>
    <w:link w:val="4"/>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正文文本 Char"/>
    <w:basedOn w:val="7"/>
    <w:link w:val="2"/>
    <w:uiPriority w:val="0"/>
    <w:rPr>
      <w:rFonts w:ascii="Calibri" w:hAnsi="Calibri" w:eastAsia="宋体" w:cs="Calibri"/>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163</Words>
  <Characters>931</Characters>
  <Lines>7</Lines>
  <Paragraphs>2</Paragraphs>
  <TotalTime>60</TotalTime>
  <ScaleCrop>false</ScaleCrop>
  <LinksUpToDate>false</LinksUpToDate>
  <CharactersWithSpaces>1092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2024-12-26T04:28:00Z</dcterms:created>
  <dc:creator>Microsoft</dc:creator>
  <cp:lastModifiedBy>JASMIN</cp:lastModifiedBy>
  <dcterms:modified xsi:type="dcterms:W3CDTF">2025-12-15T07:51:45Z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eyJoZGlkIjoiZjFhNTYxNTFlZTljZDJiMjkwZjg5M2ZiOWQyOGZlMjUiLCJ1c2VySWQiOiI0MjMyNzE4MjAifQ==</vt:lpwstr>
  </property>
  <property fmtid="{D5CDD505-2E9C-101B-9397-08002B2CF9AE}" pid="3" name="KSOProductBuildVer">
    <vt:lpwstr>2052-12.1.0.24034</vt:lpwstr>
  </property>
  <property fmtid="{D5CDD505-2E9C-101B-9397-08002B2CF9AE}" pid="4" name="ICV">
    <vt:lpwstr>C0C11A7EA411453187AB2586D71289B9_12</vt:lpwstr>
  </property>
</Properties>
</file>