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0A6E2">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达州市烟花爆竹产品质量市级监督抽查实施细则</w:t>
      </w:r>
    </w:p>
    <w:p w14:paraId="70E774CA">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w:t>
      </w:r>
      <w:r>
        <w:rPr>
          <w:rFonts w:ascii="方正小标宋简体" w:hAnsi="黑体" w:eastAsia="方正小标宋简体" w:cs="黑体"/>
          <w:snapToGrid w:val="0"/>
          <w:color w:val="000000"/>
          <w:spacing w:val="8"/>
          <w:kern w:val="0"/>
          <w:sz w:val="36"/>
          <w:szCs w:val="36"/>
        </w:rPr>
        <w:t>202</w:t>
      </w:r>
      <w:r>
        <w:rPr>
          <w:rFonts w:hint="eastAsia" w:ascii="方正小标宋简体" w:hAnsi="黑体" w:eastAsia="方正小标宋简体" w:cs="黑体"/>
          <w:snapToGrid w:val="0"/>
          <w:color w:val="000000"/>
          <w:spacing w:val="8"/>
          <w:kern w:val="0"/>
          <w:sz w:val="36"/>
          <w:szCs w:val="36"/>
        </w:rPr>
        <w:t>6版)</w:t>
      </w:r>
      <w:bookmarkStart w:id="0" w:name="_GoBack"/>
      <w:bookmarkEnd w:id="0"/>
    </w:p>
    <w:p w14:paraId="72B11F06">
      <w:pPr>
        <w:rPr>
          <w:rFonts w:ascii="黑体" w:hAnsi="黑体" w:eastAsia="黑体" w:cs="Times New Roman"/>
          <w:szCs w:val="21"/>
        </w:rPr>
      </w:pPr>
    </w:p>
    <w:p w14:paraId="6AE2645F">
      <w:pPr>
        <w:rPr>
          <w:rFonts w:ascii="黑体" w:hAnsi="黑体" w:eastAsia="黑体" w:cs="Times New Roman"/>
          <w:szCs w:val="21"/>
        </w:rPr>
      </w:pPr>
      <w:r>
        <w:rPr>
          <w:rFonts w:hint="eastAsia" w:ascii="黑体" w:hAnsi="黑体" w:eastAsia="黑体" w:cs="Times New Roman"/>
          <w:szCs w:val="21"/>
        </w:rPr>
        <w:t>1 抽样方法</w:t>
      </w:r>
    </w:p>
    <w:p w14:paraId="526986AF">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以随机抽样的方式在被抽样生产者、销售者的待销产品中抽取。</w:t>
      </w:r>
    </w:p>
    <w:p w14:paraId="53086D0D">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随机数一般可使用随机数表、骰子、扑克牌或其它方法产生。</w:t>
      </w:r>
    </w:p>
    <w:p w14:paraId="4483B604">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每批次产品抽取样品数量按表</w:t>
      </w:r>
      <w:r>
        <w:rPr>
          <w:rFonts w:ascii="宋体" w:hAnsi="宋体" w:cs="宋体"/>
          <w:snapToGrid w:val="0"/>
          <w:color w:val="000000"/>
          <w:spacing w:val="7"/>
          <w:kern w:val="0"/>
        </w:rPr>
        <w:t>1</w:t>
      </w:r>
      <w:r>
        <w:rPr>
          <w:rFonts w:hint="eastAsia" w:ascii="宋体" w:hAnsi="宋体" w:cs="宋体"/>
          <w:snapToGrid w:val="0"/>
          <w:color w:val="000000"/>
          <w:spacing w:val="7"/>
          <w:kern w:val="0"/>
        </w:rPr>
        <w:t>规定抽取，同时抽取同样数量的备用样品，备用样品封存于受检单位。</w:t>
      </w:r>
    </w:p>
    <w:p w14:paraId="5E5EEE25">
      <w:pPr>
        <w:autoSpaceDE w:val="0"/>
        <w:autoSpaceDN w:val="0"/>
        <w:adjustRightInd w:val="0"/>
        <w:jc w:val="left"/>
        <w:rPr>
          <w:rFonts w:ascii="宋体" w:hAnsi="宋体" w:eastAsia="宋体" w:cs="FZSSK--GBK1-0"/>
          <w:kern w:val="0"/>
          <w:szCs w:val="21"/>
        </w:rPr>
      </w:pPr>
    </w:p>
    <w:p w14:paraId="452EF7A8">
      <w:pPr>
        <w:jc w:val="center"/>
        <w:rPr>
          <w:rFonts w:ascii="黑体" w:hAnsi="黑体" w:eastAsia="黑体" w:cs="黑体"/>
          <w:szCs w:val="24"/>
        </w:rPr>
      </w:pPr>
      <w:r>
        <w:rPr>
          <w:rFonts w:hint="eastAsia" w:ascii="黑体" w:hAnsi="黑体" w:eastAsia="黑体" w:cs="黑体"/>
          <w:szCs w:val="24"/>
        </w:rPr>
        <w:t>表1</w:t>
      </w:r>
      <w:r>
        <w:rPr>
          <w:rFonts w:ascii="黑体" w:hAnsi="黑体" w:eastAsia="黑体" w:cs="黑体"/>
          <w:szCs w:val="24"/>
        </w:rPr>
        <w:t xml:space="preserve"> </w:t>
      </w:r>
      <w:r>
        <w:rPr>
          <w:rFonts w:hint="eastAsia" w:ascii="黑体" w:hAnsi="黑体" w:eastAsia="黑体" w:cs="黑体"/>
          <w:szCs w:val="24"/>
        </w:rPr>
        <w:t>爆竹类产品抽样样本量规定</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704"/>
        <w:gridCol w:w="1704"/>
        <w:gridCol w:w="1704"/>
        <w:gridCol w:w="1705"/>
        <w:gridCol w:w="1705"/>
      </w:tblGrid>
      <w:tr w14:paraId="75B2A5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704" w:type="dxa"/>
            <w:vMerge w:val="restart"/>
            <w:vAlign w:val="center"/>
          </w:tcPr>
          <w:p w14:paraId="6B885E4D">
            <w:pPr>
              <w:autoSpaceDE w:val="0"/>
              <w:autoSpaceDN w:val="0"/>
              <w:adjustRightInd w:val="0"/>
              <w:jc w:val="center"/>
              <w:rPr>
                <w:rFonts w:cs="FZHTK--GBK1-0" w:asciiTheme="minorEastAsia" w:hAnsiTheme="minorEastAsia"/>
                <w:kern w:val="0"/>
                <w:szCs w:val="21"/>
              </w:rPr>
            </w:pPr>
            <w:r>
              <w:rPr>
                <w:rFonts w:hint="eastAsia" w:cs="FZHTK--GBK1-0" w:asciiTheme="minorEastAsia" w:hAnsiTheme="minorEastAsia"/>
                <w:kern w:val="0"/>
                <w:szCs w:val="21"/>
              </w:rPr>
              <w:t>批量范围</w:t>
            </w:r>
          </w:p>
          <w:p w14:paraId="5ABF9FBF">
            <w:pPr>
              <w:autoSpaceDE w:val="0"/>
              <w:autoSpaceDN w:val="0"/>
              <w:adjustRightInd w:val="0"/>
              <w:jc w:val="center"/>
              <w:rPr>
                <w:rFonts w:cs="FZHTK--GBK1-0" w:asciiTheme="minorEastAsia" w:hAnsiTheme="minorEastAsia"/>
                <w:kern w:val="0"/>
                <w:szCs w:val="21"/>
              </w:rPr>
            </w:pPr>
            <w:r>
              <w:rPr>
                <w:rFonts w:cs="FZHTK--GBK1-0" w:asciiTheme="minorEastAsia" w:hAnsiTheme="minorEastAsia"/>
                <w:kern w:val="0"/>
                <w:szCs w:val="21"/>
              </w:rPr>
              <w:t>N/</w:t>
            </w:r>
            <w:r>
              <w:rPr>
                <w:rFonts w:hint="eastAsia" w:cs="FZHTK--GBK1-0" w:asciiTheme="minorEastAsia" w:hAnsiTheme="minorEastAsia"/>
                <w:kern w:val="0"/>
                <w:szCs w:val="21"/>
              </w:rPr>
              <w:t>（挂、卷）</w:t>
            </w:r>
          </w:p>
        </w:tc>
        <w:tc>
          <w:tcPr>
            <w:tcW w:w="6818" w:type="dxa"/>
            <w:gridSpan w:val="4"/>
            <w:vAlign w:val="center"/>
          </w:tcPr>
          <w:p w14:paraId="4023F37D">
            <w:pPr>
              <w:autoSpaceDE w:val="0"/>
              <w:autoSpaceDN w:val="0"/>
              <w:adjustRightInd w:val="0"/>
              <w:jc w:val="center"/>
              <w:rPr>
                <w:rFonts w:cs="FZHTK--GBK1-0" w:asciiTheme="minorEastAsia" w:hAnsiTheme="minorEastAsia"/>
                <w:kern w:val="0"/>
                <w:szCs w:val="21"/>
              </w:rPr>
            </w:pPr>
            <w:r>
              <w:rPr>
                <w:rFonts w:hint="eastAsia" w:cs="FZHTK--GBK1-0" w:asciiTheme="minorEastAsia" w:hAnsiTheme="minorEastAsia"/>
                <w:kern w:val="0"/>
                <w:szCs w:val="21"/>
              </w:rPr>
              <w:t>样本量</w:t>
            </w:r>
            <w:r>
              <w:rPr>
                <w:rFonts w:cs="FZHTK--GBK1-0" w:asciiTheme="minorEastAsia" w:hAnsiTheme="minorEastAsia"/>
                <w:kern w:val="0"/>
                <w:szCs w:val="21"/>
              </w:rPr>
              <w:t>n/</w:t>
            </w:r>
            <w:r>
              <w:rPr>
                <w:rFonts w:hint="eastAsia" w:cs="FZHTK--GBK1-0" w:asciiTheme="minorEastAsia" w:hAnsiTheme="minorEastAsia"/>
                <w:kern w:val="0"/>
                <w:szCs w:val="21"/>
              </w:rPr>
              <w:t>（挂、卷）</w:t>
            </w:r>
          </w:p>
        </w:tc>
      </w:tr>
      <w:tr w14:paraId="53D5285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704" w:type="dxa"/>
            <w:vMerge w:val="continue"/>
            <w:vAlign w:val="center"/>
          </w:tcPr>
          <w:p w14:paraId="4EDA0C93">
            <w:pPr>
              <w:autoSpaceDE w:val="0"/>
              <w:autoSpaceDN w:val="0"/>
              <w:adjustRightInd w:val="0"/>
              <w:jc w:val="center"/>
              <w:rPr>
                <w:rFonts w:ascii="宋体" w:hAnsi="宋体" w:eastAsia="宋体" w:cs="FZHTK--GBK1-0"/>
                <w:kern w:val="0"/>
                <w:szCs w:val="21"/>
              </w:rPr>
            </w:pPr>
          </w:p>
        </w:tc>
        <w:tc>
          <w:tcPr>
            <w:tcW w:w="1704" w:type="dxa"/>
            <w:vAlign w:val="center"/>
          </w:tcPr>
          <w:p w14:paraId="67E46E74">
            <w:pPr>
              <w:autoSpaceDE w:val="0"/>
              <w:autoSpaceDN w:val="0"/>
              <w:adjustRightInd w:val="0"/>
              <w:jc w:val="center"/>
              <w:rPr>
                <w:rFonts w:cs="FZHTK--GBK1-0" w:asciiTheme="minorEastAsia" w:hAnsiTheme="minorEastAsia"/>
                <w:kern w:val="0"/>
                <w:szCs w:val="21"/>
              </w:rPr>
            </w:pPr>
            <w:r>
              <w:rPr>
                <w:rFonts w:hint="eastAsia" w:cs="FZHTK--GBK1-0" w:asciiTheme="minorEastAsia" w:hAnsiTheme="minorEastAsia"/>
                <w:kern w:val="0"/>
                <w:szCs w:val="21"/>
              </w:rPr>
              <w:t>≤</w:t>
            </w:r>
            <w:r>
              <w:rPr>
                <w:rFonts w:cs="FZHTK--GBK1-0" w:asciiTheme="minorEastAsia" w:hAnsiTheme="minorEastAsia"/>
                <w:kern w:val="0"/>
                <w:szCs w:val="21"/>
              </w:rPr>
              <w:t xml:space="preserve">50 </w:t>
            </w:r>
            <w:r>
              <w:rPr>
                <w:rFonts w:hint="eastAsia" w:cs="FZHTK--GBK1-0" w:asciiTheme="minorEastAsia" w:hAnsiTheme="minorEastAsia"/>
                <w:kern w:val="0"/>
                <w:szCs w:val="21"/>
              </w:rPr>
              <w:t>响</w:t>
            </w:r>
            <w:r>
              <w:rPr>
                <w:rFonts w:cs="FZHTK--GBK1-0" w:asciiTheme="minorEastAsia" w:hAnsiTheme="minorEastAsia"/>
                <w:kern w:val="0"/>
                <w:szCs w:val="21"/>
              </w:rPr>
              <w:t>/</w:t>
            </w:r>
          </w:p>
          <w:p w14:paraId="1CF5FE55">
            <w:pPr>
              <w:autoSpaceDE w:val="0"/>
              <w:autoSpaceDN w:val="0"/>
              <w:adjustRightInd w:val="0"/>
              <w:jc w:val="center"/>
              <w:rPr>
                <w:rFonts w:cs="FZHTK--GBK1-0" w:asciiTheme="minorEastAsia" w:hAnsiTheme="minorEastAsia"/>
                <w:kern w:val="0"/>
                <w:szCs w:val="21"/>
              </w:rPr>
            </w:pPr>
            <w:r>
              <w:rPr>
                <w:rFonts w:hint="eastAsia" w:cs="FZHTK--GBK1-0" w:asciiTheme="minorEastAsia" w:hAnsiTheme="minorEastAsia"/>
                <w:kern w:val="0"/>
                <w:szCs w:val="21"/>
              </w:rPr>
              <w:t>（挂、卷）</w:t>
            </w:r>
          </w:p>
        </w:tc>
        <w:tc>
          <w:tcPr>
            <w:tcW w:w="1704" w:type="dxa"/>
            <w:vAlign w:val="center"/>
          </w:tcPr>
          <w:p w14:paraId="023B41EA">
            <w:pPr>
              <w:autoSpaceDE w:val="0"/>
              <w:autoSpaceDN w:val="0"/>
              <w:adjustRightInd w:val="0"/>
              <w:jc w:val="center"/>
              <w:rPr>
                <w:rFonts w:cs="FZHTK--GBK1-0" w:asciiTheme="minorEastAsia" w:hAnsiTheme="minorEastAsia"/>
                <w:kern w:val="0"/>
                <w:szCs w:val="21"/>
              </w:rPr>
            </w:pPr>
            <w:r>
              <w:rPr>
                <w:rFonts w:cs="FZHTK--GBK1-0" w:asciiTheme="minorEastAsia" w:hAnsiTheme="minorEastAsia"/>
                <w:kern w:val="0"/>
                <w:szCs w:val="21"/>
              </w:rPr>
              <w:t>51</w:t>
            </w:r>
            <w:r>
              <w:rPr>
                <w:rFonts w:hint="eastAsia" w:cs="FZHTK--GBK1-0" w:asciiTheme="minorEastAsia" w:hAnsiTheme="minorEastAsia"/>
                <w:kern w:val="0"/>
                <w:szCs w:val="21"/>
              </w:rPr>
              <w:t>～</w:t>
            </w:r>
            <w:r>
              <w:rPr>
                <w:rFonts w:cs="FZHTK--GBK1-0" w:asciiTheme="minorEastAsia" w:hAnsiTheme="minorEastAsia"/>
                <w:kern w:val="0"/>
                <w:szCs w:val="21"/>
              </w:rPr>
              <w:t xml:space="preserve">500 </w:t>
            </w:r>
            <w:r>
              <w:rPr>
                <w:rFonts w:hint="eastAsia" w:cs="FZHTK--GBK1-0" w:asciiTheme="minorEastAsia" w:hAnsiTheme="minorEastAsia"/>
                <w:kern w:val="0"/>
                <w:szCs w:val="21"/>
              </w:rPr>
              <w:t>响</w:t>
            </w:r>
            <w:r>
              <w:rPr>
                <w:rFonts w:cs="FZHTK--GBK1-0" w:asciiTheme="minorEastAsia" w:hAnsiTheme="minorEastAsia"/>
                <w:kern w:val="0"/>
                <w:szCs w:val="21"/>
              </w:rPr>
              <w:t>/</w:t>
            </w:r>
            <w:r>
              <w:rPr>
                <w:rFonts w:hint="eastAsia" w:cs="FZHTK--GBK1-0" w:asciiTheme="minorEastAsia" w:hAnsiTheme="minorEastAsia"/>
                <w:kern w:val="0"/>
                <w:szCs w:val="21"/>
              </w:rPr>
              <w:t>（挂、卷）</w:t>
            </w:r>
          </w:p>
        </w:tc>
        <w:tc>
          <w:tcPr>
            <w:tcW w:w="1705" w:type="dxa"/>
            <w:vAlign w:val="center"/>
          </w:tcPr>
          <w:p w14:paraId="2D8A8C61">
            <w:pPr>
              <w:autoSpaceDE w:val="0"/>
              <w:autoSpaceDN w:val="0"/>
              <w:adjustRightInd w:val="0"/>
              <w:jc w:val="center"/>
              <w:rPr>
                <w:rFonts w:cs="FZHTK--GBK1-0" w:asciiTheme="minorEastAsia" w:hAnsiTheme="minorEastAsia"/>
                <w:kern w:val="0"/>
                <w:szCs w:val="21"/>
              </w:rPr>
            </w:pPr>
            <w:r>
              <w:rPr>
                <w:rFonts w:hint="eastAsia" w:cs="FZHTK--GBK1-0" w:asciiTheme="minorEastAsia" w:hAnsiTheme="minorEastAsia"/>
                <w:kern w:val="0"/>
                <w:szCs w:val="21"/>
              </w:rPr>
              <w:t>501～2000响</w:t>
            </w:r>
            <w:r>
              <w:rPr>
                <w:rFonts w:cs="FZHTK--GBK1-0" w:asciiTheme="minorEastAsia" w:hAnsiTheme="minorEastAsia"/>
                <w:kern w:val="0"/>
                <w:szCs w:val="21"/>
              </w:rPr>
              <w:t>/</w:t>
            </w:r>
          </w:p>
          <w:p w14:paraId="3D50D426">
            <w:pPr>
              <w:autoSpaceDE w:val="0"/>
              <w:autoSpaceDN w:val="0"/>
              <w:adjustRightInd w:val="0"/>
              <w:jc w:val="center"/>
              <w:rPr>
                <w:rFonts w:cs="FZHTK--GBK1-0" w:asciiTheme="minorEastAsia" w:hAnsiTheme="minorEastAsia"/>
                <w:kern w:val="0"/>
                <w:szCs w:val="21"/>
              </w:rPr>
            </w:pPr>
            <w:r>
              <w:rPr>
                <w:rFonts w:hint="eastAsia" w:cs="FZHTK--GBK1-0" w:asciiTheme="minorEastAsia" w:hAnsiTheme="minorEastAsia"/>
                <w:kern w:val="0"/>
                <w:szCs w:val="21"/>
              </w:rPr>
              <w:t>（挂、卷）</w:t>
            </w:r>
          </w:p>
        </w:tc>
        <w:tc>
          <w:tcPr>
            <w:tcW w:w="1705" w:type="dxa"/>
            <w:vAlign w:val="center"/>
          </w:tcPr>
          <w:p w14:paraId="4B80D6BA">
            <w:pPr>
              <w:autoSpaceDE w:val="0"/>
              <w:autoSpaceDN w:val="0"/>
              <w:adjustRightInd w:val="0"/>
              <w:jc w:val="center"/>
              <w:rPr>
                <w:rFonts w:cs="FZHTK--GBK1-0" w:asciiTheme="minorEastAsia" w:hAnsiTheme="minorEastAsia"/>
                <w:kern w:val="0"/>
                <w:szCs w:val="21"/>
              </w:rPr>
            </w:pPr>
            <w:r>
              <w:rPr>
                <w:rFonts w:hint="eastAsia" w:cs="FZSSK--GBK1-0" w:asciiTheme="minorEastAsia" w:hAnsiTheme="minorEastAsia"/>
                <w:kern w:val="0"/>
                <w:szCs w:val="21"/>
              </w:rPr>
              <w:t>＞</w:t>
            </w:r>
            <w:r>
              <w:rPr>
                <w:rFonts w:cs="FZSSK--GBK1-0" w:asciiTheme="minorEastAsia" w:hAnsiTheme="minorEastAsia"/>
                <w:kern w:val="0"/>
                <w:szCs w:val="21"/>
              </w:rPr>
              <w:t>2000</w:t>
            </w:r>
            <w:r>
              <w:rPr>
                <w:rFonts w:cs="FZHTK--GBK1-0" w:asciiTheme="minorEastAsia" w:hAnsiTheme="minorEastAsia"/>
                <w:kern w:val="0"/>
                <w:szCs w:val="21"/>
              </w:rPr>
              <w:t xml:space="preserve"> </w:t>
            </w:r>
            <w:r>
              <w:rPr>
                <w:rFonts w:hint="eastAsia" w:cs="FZHTK--GBK1-0" w:asciiTheme="minorEastAsia" w:hAnsiTheme="minorEastAsia"/>
                <w:kern w:val="0"/>
                <w:szCs w:val="21"/>
              </w:rPr>
              <w:t>响</w:t>
            </w:r>
            <w:r>
              <w:rPr>
                <w:rFonts w:cs="FZHTK--GBK1-0" w:asciiTheme="minorEastAsia" w:hAnsiTheme="minorEastAsia"/>
                <w:kern w:val="0"/>
                <w:szCs w:val="21"/>
              </w:rPr>
              <w:t>/</w:t>
            </w:r>
          </w:p>
          <w:p w14:paraId="253B081A">
            <w:pPr>
              <w:autoSpaceDE w:val="0"/>
              <w:autoSpaceDN w:val="0"/>
              <w:adjustRightInd w:val="0"/>
              <w:jc w:val="center"/>
              <w:rPr>
                <w:rFonts w:cs="FZHTK--GBK1-0" w:asciiTheme="minorEastAsia" w:hAnsiTheme="minorEastAsia"/>
                <w:kern w:val="0"/>
                <w:szCs w:val="21"/>
              </w:rPr>
            </w:pPr>
            <w:r>
              <w:rPr>
                <w:rFonts w:hint="eastAsia" w:cs="FZHTK--GBK1-0" w:asciiTheme="minorEastAsia" w:hAnsiTheme="minorEastAsia"/>
                <w:kern w:val="0"/>
                <w:szCs w:val="21"/>
              </w:rPr>
              <w:t>（挂、卷）</w:t>
            </w:r>
          </w:p>
        </w:tc>
      </w:tr>
      <w:tr w14:paraId="7D5D19A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704" w:type="dxa"/>
            <w:vAlign w:val="center"/>
          </w:tcPr>
          <w:p w14:paraId="75D3691C">
            <w:pPr>
              <w:jc w:val="center"/>
              <w:rPr>
                <w:rFonts w:cs="FZSSK--GBK1-0" w:asciiTheme="minorEastAsia" w:hAnsiTheme="minorEastAsia"/>
                <w:kern w:val="0"/>
                <w:szCs w:val="21"/>
              </w:rPr>
            </w:pPr>
            <w:r>
              <w:rPr>
                <w:rFonts w:hint="eastAsia" w:cs="FZSSK--GBK1-0" w:asciiTheme="minorEastAsia" w:hAnsiTheme="minorEastAsia"/>
                <w:kern w:val="0"/>
                <w:szCs w:val="21"/>
              </w:rPr>
              <w:t>≤</w:t>
            </w:r>
            <w:r>
              <w:rPr>
                <w:rFonts w:cs="FZSSK--GBK1-0" w:asciiTheme="minorEastAsia" w:hAnsiTheme="minorEastAsia"/>
                <w:kern w:val="0"/>
                <w:szCs w:val="21"/>
              </w:rPr>
              <w:t>500</w:t>
            </w:r>
          </w:p>
        </w:tc>
        <w:tc>
          <w:tcPr>
            <w:tcW w:w="1704" w:type="dxa"/>
            <w:vAlign w:val="center"/>
          </w:tcPr>
          <w:p w14:paraId="6C18F654">
            <w:pPr>
              <w:jc w:val="center"/>
              <w:rPr>
                <w:rFonts w:cs="FZSSK--GBK1-0" w:asciiTheme="minorEastAsia" w:hAnsiTheme="minorEastAsia"/>
                <w:kern w:val="0"/>
                <w:szCs w:val="21"/>
              </w:rPr>
            </w:pPr>
            <w:r>
              <w:rPr>
                <w:rFonts w:cs="FZSSK--GBK1-0" w:asciiTheme="minorEastAsia" w:hAnsiTheme="minorEastAsia"/>
                <w:kern w:val="0"/>
                <w:szCs w:val="21"/>
              </w:rPr>
              <w:t>8</w:t>
            </w:r>
          </w:p>
        </w:tc>
        <w:tc>
          <w:tcPr>
            <w:tcW w:w="1704" w:type="dxa"/>
            <w:vAlign w:val="center"/>
          </w:tcPr>
          <w:p w14:paraId="12C8680E">
            <w:pPr>
              <w:jc w:val="center"/>
              <w:rPr>
                <w:rFonts w:cs="FZSSK--GBK1-0" w:asciiTheme="minorEastAsia" w:hAnsiTheme="minorEastAsia"/>
                <w:kern w:val="0"/>
                <w:szCs w:val="21"/>
              </w:rPr>
            </w:pPr>
            <w:r>
              <w:rPr>
                <w:rFonts w:cs="FZSSK--GBK1-0" w:asciiTheme="minorEastAsia" w:hAnsiTheme="minorEastAsia"/>
                <w:kern w:val="0"/>
                <w:szCs w:val="21"/>
              </w:rPr>
              <w:t>6</w:t>
            </w:r>
          </w:p>
        </w:tc>
        <w:tc>
          <w:tcPr>
            <w:tcW w:w="1705" w:type="dxa"/>
            <w:vAlign w:val="center"/>
          </w:tcPr>
          <w:p w14:paraId="21E1161C">
            <w:pPr>
              <w:jc w:val="center"/>
              <w:rPr>
                <w:rFonts w:cs="FZSSK--GBK1-0" w:asciiTheme="minorEastAsia" w:hAnsiTheme="minorEastAsia"/>
                <w:kern w:val="0"/>
                <w:szCs w:val="21"/>
              </w:rPr>
            </w:pPr>
            <w:r>
              <w:rPr>
                <w:rFonts w:cs="FZSSK--GBK1-0" w:asciiTheme="minorEastAsia" w:hAnsiTheme="minorEastAsia"/>
                <w:kern w:val="0"/>
                <w:szCs w:val="21"/>
              </w:rPr>
              <w:t>5</w:t>
            </w:r>
          </w:p>
        </w:tc>
        <w:tc>
          <w:tcPr>
            <w:tcW w:w="1705" w:type="dxa"/>
            <w:vAlign w:val="center"/>
          </w:tcPr>
          <w:p w14:paraId="5BA253F3">
            <w:pPr>
              <w:jc w:val="center"/>
              <w:rPr>
                <w:rFonts w:asciiTheme="minorEastAsia" w:hAnsiTheme="minorEastAsia"/>
              </w:rPr>
            </w:pPr>
            <w:r>
              <w:rPr>
                <w:rFonts w:cs="FZSSK--GBK1-0" w:asciiTheme="minorEastAsia" w:hAnsiTheme="minorEastAsia"/>
                <w:kern w:val="0"/>
                <w:szCs w:val="21"/>
              </w:rPr>
              <w:t>4</w:t>
            </w:r>
          </w:p>
        </w:tc>
      </w:tr>
      <w:tr w14:paraId="7800A4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704" w:type="dxa"/>
            <w:vAlign w:val="center"/>
          </w:tcPr>
          <w:p w14:paraId="0482CDC0">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501</w:t>
            </w:r>
            <w:r>
              <w:rPr>
                <w:rFonts w:hint="eastAsia" w:cs="FZSSK--GBK1-0" w:asciiTheme="minorEastAsia" w:hAnsiTheme="minorEastAsia"/>
                <w:kern w:val="0"/>
                <w:szCs w:val="21"/>
              </w:rPr>
              <w:t>～</w:t>
            </w:r>
            <w:r>
              <w:rPr>
                <w:rFonts w:cs="FZSSK--GBK1-0" w:asciiTheme="minorEastAsia" w:hAnsiTheme="minorEastAsia"/>
                <w:kern w:val="0"/>
                <w:szCs w:val="21"/>
              </w:rPr>
              <w:t>1000</w:t>
            </w:r>
          </w:p>
        </w:tc>
        <w:tc>
          <w:tcPr>
            <w:tcW w:w="1704" w:type="dxa"/>
            <w:vAlign w:val="center"/>
          </w:tcPr>
          <w:p w14:paraId="65C85423">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10</w:t>
            </w:r>
          </w:p>
        </w:tc>
        <w:tc>
          <w:tcPr>
            <w:tcW w:w="1704" w:type="dxa"/>
            <w:vAlign w:val="center"/>
          </w:tcPr>
          <w:p w14:paraId="1F5FCBAC">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8</w:t>
            </w:r>
          </w:p>
        </w:tc>
        <w:tc>
          <w:tcPr>
            <w:tcW w:w="1705" w:type="dxa"/>
            <w:vAlign w:val="center"/>
          </w:tcPr>
          <w:p w14:paraId="2CBFDD54">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6</w:t>
            </w:r>
          </w:p>
        </w:tc>
        <w:tc>
          <w:tcPr>
            <w:tcW w:w="1705" w:type="dxa"/>
            <w:vAlign w:val="center"/>
          </w:tcPr>
          <w:p w14:paraId="394E9F7B">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4</w:t>
            </w:r>
          </w:p>
        </w:tc>
      </w:tr>
      <w:tr w14:paraId="2D2E31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704" w:type="dxa"/>
            <w:vAlign w:val="center"/>
          </w:tcPr>
          <w:p w14:paraId="40220B38">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1001</w:t>
            </w:r>
            <w:r>
              <w:rPr>
                <w:rFonts w:hint="eastAsia" w:cs="FZSSK--GBK1-0" w:asciiTheme="minorEastAsia" w:hAnsiTheme="minorEastAsia"/>
                <w:kern w:val="0"/>
                <w:szCs w:val="21"/>
              </w:rPr>
              <w:t>～</w:t>
            </w:r>
            <w:r>
              <w:rPr>
                <w:rFonts w:cs="FZSSK--GBK1-0" w:asciiTheme="minorEastAsia" w:hAnsiTheme="minorEastAsia"/>
                <w:kern w:val="0"/>
                <w:szCs w:val="21"/>
              </w:rPr>
              <w:t>2000</w:t>
            </w:r>
          </w:p>
        </w:tc>
        <w:tc>
          <w:tcPr>
            <w:tcW w:w="1704" w:type="dxa"/>
            <w:vAlign w:val="center"/>
          </w:tcPr>
          <w:p w14:paraId="503DCAB9">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13</w:t>
            </w:r>
          </w:p>
        </w:tc>
        <w:tc>
          <w:tcPr>
            <w:tcW w:w="1704" w:type="dxa"/>
            <w:vAlign w:val="center"/>
          </w:tcPr>
          <w:p w14:paraId="68B06154">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10</w:t>
            </w:r>
          </w:p>
        </w:tc>
        <w:tc>
          <w:tcPr>
            <w:tcW w:w="1705" w:type="dxa"/>
            <w:vAlign w:val="center"/>
          </w:tcPr>
          <w:p w14:paraId="18D664B8">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8</w:t>
            </w:r>
          </w:p>
        </w:tc>
        <w:tc>
          <w:tcPr>
            <w:tcW w:w="1705" w:type="dxa"/>
            <w:vAlign w:val="center"/>
          </w:tcPr>
          <w:p w14:paraId="22B4DB4D">
            <w:pPr>
              <w:autoSpaceDE w:val="0"/>
              <w:autoSpaceDN w:val="0"/>
              <w:adjustRightInd w:val="0"/>
              <w:jc w:val="center"/>
              <w:rPr>
                <w:rFonts w:cs="FZSSK--GBK1-0" w:asciiTheme="minorEastAsia" w:hAnsiTheme="minorEastAsia"/>
                <w:kern w:val="0"/>
                <w:szCs w:val="21"/>
              </w:rPr>
            </w:pPr>
            <w:r>
              <w:rPr>
                <w:rFonts w:cs="FZSSK--GBK1-0" w:asciiTheme="minorEastAsia" w:hAnsiTheme="minorEastAsia"/>
                <w:kern w:val="0"/>
                <w:szCs w:val="21"/>
              </w:rPr>
              <w:t>5</w:t>
            </w:r>
          </w:p>
        </w:tc>
      </w:tr>
      <w:tr w14:paraId="3867704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704" w:type="dxa"/>
            <w:vAlign w:val="center"/>
          </w:tcPr>
          <w:p w14:paraId="5D43AD98">
            <w:pPr>
              <w:jc w:val="center"/>
              <w:rPr>
                <w:rFonts w:cs="FZSSK--GBK1-0" w:asciiTheme="minorEastAsia" w:hAnsiTheme="minorEastAsia"/>
                <w:kern w:val="0"/>
                <w:szCs w:val="21"/>
              </w:rPr>
            </w:pPr>
            <w:r>
              <w:rPr>
                <w:rFonts w:hint="eastAsia" w:cs="FZSSK--GBK1-0" w:asciiTheme="minorEastAsia" w:hAnsiTheme="minorEastAsia"/>
                <w:kern w:val="0"/>
                <w:szCs w:val="21"/>
              </w:rPr>
              <w:t>＞</w:t>
            </w:r>
            <w:r>
              <w:rPr>
                <w:rFonts w:cs="FZSSK--GBK1-0" w:asciiTheme="minorEastAsia" w:hAnsiTheme="minorEastAsia"/>
                <w:kern w:val="0"/>
                <w:szCs w:val="21"/>
              </w:rPr>
              <w:t>2000</w:t>
            </w:r>
          </w:p>
        </w:tc>
        <w:tc>
          <w:tcPr>
            <w:tcW w:w="1704" w:type="dxa"/>
            <w:vAlign w:val="center"/>
          </w:tcPr>
          <w:p w14:paraId="71108561">
            <w:pPr>
              <w:jc w:val="center"/>
              <w:rPr>
                <w:rFonts w:cs="FZSSK--GBK1-0" w:asciiTheme="minorEastAsia" w:hAnsiTheme="minorEastAsia"/>
                <w:kern w:val="0"/>
                <w:szCs w:val="21"/>
              </w:rPr>
            </w:pPr>
            <w:r>
              <w:rPr>
                <w:rFonts w:cs="FZSSK--GBK1-0" w:asciiTheme="minorEastAsia" w:hAnsiTheme="minorEastAsia"/>
                <w:kern w:val="0"/>
                <w:szCs w:val="21"/>
              </w:rPr>
              <w:t>13</w:t>
            </w:r>
          </w:p>
        </w:tc>
        <w:tc>
          <w:tcPr>
            <w:tcW w:w="1704" w:type="dxa"/>
            <w:vAlign w:val="center"/>
          </w:tcPr>
          <w:p w14:paraId="758A32D9">
            <w:pPr>
              <w:jc w:val="center"/>
              <w:rPr>
                <w:rFonts w:cs="FZSSK--GBK1-0" w:asciiTheme="minorEastAsia" w:hAnsiTheme="minorEastAsia"/>
                <w:kern w:val="0"/>
                <w:szCs w:val="21"/>
              </w:rPr>
            </w:pPr>
            <w:r>
              <w:rPr>
                <w:rFonts w:cs="FZSSK--GBK1-0" w:asciiTheme="minorEastAsia" w:hAnsiTheme="minorEastAsia"/>
                <w:kern w:val="0"/>
                <w:szCs w:val="21"/>
              </w:rPr>
              <w:t>12</w:t>
            </w:r>
          </w:p>
        </w:tc>
        <w:tc>
          <w:tcPr>
            <w:tcW w:w="1705" w:type="dxa"/>
            <w:vAlign w:val="center"/>
          </w:tcPr>
          <w:p w14:paraId="08981D0F">
            <w:pPr>
              <w:jc w:val="center"/>
              <w:rPr>
                <w:rFonts w:cs="FZSSK--GBK1-0" w:asciiTheme="minorEastAsia" w:hAnsiTheme="minorEastAsia"/>
                <w:kern w:val="0"/>
                <w:szCs w:val="21"/>
              </w:rPr>
            </w:pPr>
            <w:r>
              <w:rPr>
                <w:rFonts w:cs="FZSSK--GBK1-0" w:asciiTheme="minorEastAsia" w:hAnsiTheme="minorEastAsia"/>
                <w:kern w:val="0"/>
                <w:szCs w:val="21"/>
              </w:rPr>
              <w:t>10</w:t>
            </w:r>
          </w:p>
        </w:tc>
        <w:tc>
          <w:tcPr>
            <w:tcW w:w="1705" w:type="dxa"/>
            <w:vAlign w:val="center"/>
          </w:tcPr>
          <w:p w14:paraId="2B0194B4">
            <w:pPr>
              <w:jc w:val="center"/>
              <w:rPr>
                <w:rFonts w:asciiTheme="minorEastAsia" w:hAnsiTheme="minorEastAsia"/>
              </w:rPr>
            </w:pPr>
            <w:r>
              <w:rPr>
                <w:rFonts w:cs="FZSSK--GBK1-0" w:asciiTheme="minorEastAsia" w:hAnsiTheme="minorEastAsia"/>
                <w:kern w:val="0"/>
                <w:szCs w:val="21"/>
              </w:rPr>
              <w:t>6</w:t>
            </w:r>
          </w:p>
        </w:tc>
      </w:tr>
    </w:tbl>
    <w:p w14:paraId="7DC8EB76">
      <w:pPr>
        <w:jc w:val="center"/>
        <w:rPr>
          <w:rFonts w:ascii="黑体" w:hAnsi="黑体" w:eastAsia="黑体" w:cs="黑体"/>
          <w:szCs w:val="24"/>
        </w:rPr>
      </w:pPr>
    </w:p>
    <w:p w14:paraId="41370DD3">
      <w:pPr>
        <w:jc w:val="center"/>
        <w:rPr>
          <w:rFonts w:ascii="宋体" w:hAnsi="宋体" w:eastAsia="宋体" w:cs="FZHTK--GBK1-0"/>
          <w:kern w:val="0"/>
          <w:szCs w:val="21"/>
        </w:rPr>
      </w:pPr>
    </w:p>
    <w:p w14:paraId="74B6D9E1">
      <w:pPr>
        <w:widowControl/>
        <w:kinsoku w:val="0"/>
        <w:autoSpaceDE w:val="0"/>
        <w:autoSpaceDN w:val="0"/>
        <w:adjustRightInd w:val="0"/>
        <w:snapToGrid w:val="0"/>
        <w:spacing w:before="66" w:line="230" w:lineRule="auto"/>
        <w:ind w:left="33"/>
        <w:jc w:val="left"/>
        <w:textAlignment w:val="baseline"/>
        <w:rPr>
          <w:rFonts w:ascii="黑体" w:hAnsi="黑体" w:eastAsia="黑体" w:cs="黑体"/>
          <w:snapToGrid w:val="0"/>
          <w:color w:val="000000"/>
          <w:spacing w:val="6"/>
          <w:kern w:val="0"/>
          <w:szCs w:val="21"/>
        </w:rPr>
      </w:pPr>
      <w:r>
        <w:rPr>
          <w:rFonts w:hint="eastAsia" w:ascii="黑体" w:hAnsi="黑体" w:eastAsia="黑体" w:cs="黑体"/>
          <w:snapToGrid w:val="0"/>
          <w:color w:val="000000"/>
          <w:spacing w:val="6"/>
          <w:kern w:val="0"/>
          <w:szCs w:val="21"/>
        </w:rPr>
        <w:t>2.检验依据</w:t>
      </w:r>
    </w:p>
    <w:p w14:paraId="2A0D3585">
      <w:pPr>
        <w:jc w:val="center"/>
        <w:rPr>
          <w:rFonts w:ascii="黑体" w:hAnsi="黑体" w:eastAsia="黑体" w:cs="黑体"/>
          <w:szCs w:val="24"/>
        </w:rPr>
      </w:pPr>
      <w:r>
        <w:rPr>
          <w:rFonts w:hint="eastAsia" w:ascii="黑体" w:hAnsi="黑体" w:eastAsia="黑体" w:cs="黑体"/>
          <w:szCs w:val="24"/>
        </w:rPr>
        <w:t>表2 爆竹产品</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275"/>
        <w:gridCol w:w="2738"/>
        <w:gridCol w:w="2841"/>
      </w:tblGrid>
      <w:tr w14:paraId="00BBCD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668" w:type="dxa"/>
            <w:vAlign w:val="center"/>
          </w:tcPr>
          <w:p w14:paraId="0D04A2FF">
            <w:pPr>
              <w:jc w:val="center"/>
              <w:rPr>
                <w:rFonts w:ascii="宋体" w:hAnsi="宋体" w:eastAsia="宋体"/>
                <w:b/>
                <w:szCs w:val="21"/>
              </w:rPr>
            </w:pPr>
            <w:r>
              <w:rPr>
                <w:rFonts w:hint="eastAsia" w:ascii="宋体" w:hAnsi="宋体" w:eastAsia="宋体" w:cs="FZHTK--GBK1-0"/>
                <w:b/>
                <w:kern w:val="0"/>
                <w:szCs w:val="21"/>
              </w:rPr>
              <w:t>序号</w:t>
            </w:r>
          </w:p>
        </w:tc>
        <w:tc>
          <w:tcPr>
            <w:tcW w:w="4013" w:type="dxa"/>
            <w:gridSpan w:val="2"/>
            <w:vAlign w:val="center"/>
          </w:tcPr>
          <w:p w14:paraId="24A9257F">
            <w:pPr>
              <w:jc w:val="center"/>
              <w:rPr>
                <w:rFonts w:ascii="宋体" w:hAnsi="宋体" w:eastAsia="宋体"/>
                <w:b/>
                <w:szCs w:val="21"/>
              </w:rPr>
            </w:pPr>
            <w:r>
              <w:rPr>
                <w:rFonts w:hint="eastAsia" w:ascii="宋体" w:hAnsi="宋体" w:eastAsia="宋体" w:cs="FZHTK--GBK1-0"/>
                <w:b/>
                <w:kern w:val="0"/>
                <w:szCs w:val="21"/>
              </w:rPr>
              <w:t>检验项目</w:t>
            </w:r>
          </w:p>
        </w:tc>
        <w:tc>
          <w:tcPr>
            <w:tcW w:w="2841" w:type="dxa"/>
            <w:vAlign w:val="center"/>
          </w:tcPr>
          <w:p w14:paraId="2439BE9D">
            <w:pPr>
              <w:jc w:val="center"/>
              <w:rPr>
                <w:rFonts w:ascii="宋体" w:hAnsi="宋体" w:eastAsia="宋体"/>
                <w:b/>
                <w:szCs w:val="21"/>
              </w:rPr>
            </w:pPr>
            <w:r>
              <w:rPr>
                <w:rFonts w:hint="eastAsia" w:ascii="宋体" w:hAnsi="宋体" w:eastAsia="宋体" w:cs="FZHTK--GBK1-0"/>
                <w:b/>
                <w:kern w:val="0"/>
                <w:szCs w:val="21"/>
              </w:rPr>
              <w:t>检验方法</w:t>
            </w:r>
          </w:p>
        </w:tc>
      </w:tr>
      <w:tr w14:paraId="7FB1E7D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668" w:type="dxa"/>
            <w:vAlign w:val="center"/>
          </w:tcPr>
          <w:p w14:paraId="6F82EAB7">
            <w:pPr>
              <w:jc w:val="center"/>
              <w:rPr>
                <w:rFonts w:ascii="宋体" w:hAnsi="宋体" w:eastAsia="宋体" w:cs="FZSSK--GBK1-0"/>
                <w:kern w:val="0"/>
                <w:szCs w:val="21"/>
              </w:rPr>
            </w:pPr>
            <w:r>
              <w:rPr>
                <w:rFonts w:hint="eastAsia" w:ascii="宋体" w:hAnsi="宋体" w:eastAsia="宋体" w:cs="FZSSK--GBK1-0"/>
                <w:kern w:val="0"/>
                <w:szCs w:val="21"/>
              </w:rPr>
              <w:t>1</w:t>
            </w:r>
          </w:p>
        </w:tc>
        <w:tc>
          <w:tcPr>
            <w:tcW w:w="4013" w:type="dxa"/>
            <w:gridSpan w:val="2"/>
            <w:vAlign w:val="center"/>
          </w:tcPr>
          <w:p w14:paraId="49EF6D54">
            <w:pPr>
              <w:autoSpaceDE w:val="0"/>
              <w:autoSpaceDN w:val="0"/>
              <w:adjustRightInd w:val="0"/>
              <w:jc w:val="center"/>
              <w:rPr>
                <w:rFonts w:ascii="宋体" w:hAnsi="宋体" w:eastAsia="宋体" w:cs="FZSSK--GBK1-0"/>
                <w:kern w:val="0"/>
                <w:szCs w:val="21"/>
              </w:rPr>
            </w:pPr>
            <w:r>
              <w:rPr>
                <w:rFonts w:hint="eastAsia" w:ascii="宋体" w:hAnsi="宋体" w:eastAsia="宋体" w:cs="FZSSK--GBK1-0"/>
                <w:kern w:val="0"/>
                <w:szCs w:val="21"/>
              </w:rPr>
              <w:t>外观</w:t>
            </w:r>
          </w:p>
        </w:tc>
        <w:tc>
          <w:tcPr>
            <w:tcW w:w="2841" w:type="dxa"/>
            <w:vAlign w:val="center"/>
          </w:tcPr>
          <w:p w14:paraId="0FD22003">
            <w:pPr>
              <w:jc w:val="center"/>
              <w:rPr>
                <w:rFonts w:ascii="宋体" w:hAnsi="宋体" w:eastAsia="宋体" w:cs="FZSSK--GBK1-0"/>
                <w:kern w:val="0"/>
                <w:szCs w:val="21"/>
              </w:rPr>
            </w:pPr>
            <w:r>
              <w:rPr>
                <w:rFonts w:ascii="宋体" w:hAnsi="宋体" w:eastAsia="宋体" w:cs="FZSSK--GBK1-0"/>
                <w:kern w:val="0"/>
                <w:szCs w:val="21"/>
              </w:rPr>
              <w:t>GB 10631</w:t>
            </w:r>
            <w:r>
              <w:rPr>
                <w:rFonts w:hint="eastAsia" w:ascii="宋体" w:hAnsi="宋体" w:eastAsia="宋体" w:cs="FZSSK--GBK1-0"/>
                <w:kern w:val="0"/>
                <w:szCs w:val="21"/>
              </w:rPr>
              <w:t>-2013</w:t>
            </w:r>
          </w:p>
        </w:tc>
      </w:tr>
      <w:tr w14:paraId="2914B8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668" w:type="dxa"/>
            <w:vAlign w:val="center"/>
          </w:tcPr>
          <w:p w14:paraId="7D8A1885">
            <w:pPr>
              <w:jc w:val="center"/>
              <w:rPr>
                <w:rFonts w:ascii="宋体" w:hAnsi="宋体" w:eastAsia="宋体" w:cs="FZSSK--GBK1-0"/>
                <w:kern w:val="0"/>
                <w:szCs w:val="21"/>
              </w:rPr>
            </w:pPr>
            <w:r>
              <w:rPr>
                <w:rFonts w:hint="eastAsia" w:ascii="宋体" w:hAnsi="宋体" w:eastAsia="宋体" w:cs="FZSSK--GBK1-0"/>
                <w:kern w:val="0"/>
                <w:szCs w:val="21"/>
              </w:rPr>
              <w:t>2</w:t>
            </w:r>
          </w:p>
        </w:tc>
        <w:tc>
          <w:tcPr>
            <w:tcW w:w="1275" w:type="dxa"/>
            <w:tcBorders>
              <w:right w:val="single" w:color="auto" w:sz="4" w:space="0"/>
            </w:tcBorders>
            <w:vAlign w:val="center"/>
          </w:tcPr>
          <w:p w14:paraId="002E25DE">
            <w:pPr>
              <w:autoSpaceDE w:val="0"/>
              <w:autoSpaceDN w:val="0"/>
              <w:adjustRightInd w:val="0"/>
              <w:jc w:val="center"/>
              <w:rPr>
                <w:rFonts w:ascii="宋体" w:hAnsi="宋体" w:eastAsia="宋体" w:cs="FZSSK--GBK1-0"/>
                <w:kern w:val="0"/>
                <w:szCs w:val="21"/>
              </w:rPr>
            </w:pPr>
            <w:r>
              <w:rPr>
                <w:rFonts w:hint="eastAsia" w:ascii="宋体" w:hAnsi="宋体" w:eastAsia="宋体" w:cs="FZSSK--GBK1-0"/>
                <w:kern w:val="0"/>
                <w:szCs w:val="21"/>
              </w:rPr>
              <w:t>包装</w:t>
            </w:r>
          </w:p>
        </w:tc>
        <w:tc>
          <w:tcPr>
            <w:tcW w:w="2738" w:type="dxa"/>
            <w:tcBorders>
              <w:left w:val="single" w:color="auto" w:sz="4" w:space="0"/>
            </w:tcBorders>
            <w:vAlign w:val="center"/>
          </w:tcPr>
          <w:p w14:paraId="63CD31A1">
            <w:pPr>
              <w:autoSpaceDE w:val="0"/>
              <w:autoSpaceDN w:val="0"/>
              <w:adjustRightInd w:val="0"/>
              <w:jc w:val="center"/>
              <w:rPr>
                <w:rFonts w:ascii="宋体" w:hAnsi="宋体" w:eastAsia="宋体" w:cs="FZSSK--GBK1-0"/>
                <w:kern w:val="0"/>
                <w:szCs w:val="21"/>
              </w:rPr>
            </w:pPr>
            <w:r>
              <w:rPr>
                <w:rFonts w:hint="eastAsia" w:ascii="宋体" w:hAnsi="宋体" w:eastAsia="宋体" w:cs="FZSSK--GBK1-0"/>
                <w:kern w:val="0"/>
                <w:szCs w:val="21"/>
              </w:rPr>
              <w:t>销售包装</w:t>
            </w:r>
          </w:p>
        </w:tc>
        <w:tc>
          <w:tcPr>
            <w:tcW w:w="2841" w:type="dxa"/>
            <w:vAlign w:val="center"/>
          </w:tcPr>
          <w:p w14:paraId="33164BA5">
            <w:pPr>
              <w:jc w:val="center"/>
              <w:rPr>
                <w:rFonts w:ascii="宋体" w:hAnsi="宋体" w:eastAsia="宋体" w:cs="FZSSK--GBK1-0"/>
                <w:kern w:val="0"/>
                <w:szCs w:val="21"/>
              </w:rPr>
            </w:pPr>
            <w:r>
              <w:rPr>
                <w:rFonts w:ascii="宋体" w:hAnsi="宋体" w:eastAsia="宋体" w:cs="FZSSK--GBK1-0"/>
                <w:kern w:val="0"/>
                <w:szCs w:val="21"/>
              </w:rPr>
              <w:t>GB 10631</w:t>
            </w:r>
            <w:r>
              <w:rPr>
                <w:rFonts w:hint="eastAsia" w:ascii="宋体" w:hAnsi="宋体" w:eastAsia="宋体" w:cs="FZSSK--GBK1-0"/>
                <w:kern w:val="0"/>
                <w:szCs w:val="21"/>
              </w:rPr>
              <w:t>-2013</w:t>
            </w:r>
          </w:p>
        </w:tc>
      </w:tr>
      <w:tr w14:paraId="22899AC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668" w:type="dxa"/>
            <w:vAlign w:val="center"/>
          </w:tcPr>
          <w:p w14:paraId="794AEFFE">
            <w:pPr>
              <w:jc w:val="center"/>
              <w:rPr>
                <w:rFonts w:ascii="宋体" w:hAnsi="宋体" w:eastAsia="宋体" w:cs="FZSSK--GBK1-0"/>
                <w:kern w:val="0"/>
                <w:szCs w:val="21"/>
              </w:rPr>
            </w:pPr>
            <w:r>
              <w:rPr>
                <w:rFonts w:hint="eastAsia" w:ascii="宋体" w:hAnsi="宋体" w:eastAsia="宋体" w:cs="FZSSK--GBK1-0"/>
                <w:kern w:val="0"/>
                <w:szCs w:val="21"/>
              </w:rPr>
              <w:t>3</w:t>
            </w:r>
          </w:p>
        </w:tc>
        <w:tc>
          <w:tcPr>
            <w:tcW w:w="1275" w:type="dxa"/>
            <w:tcBorders>
              <w:right w:val="single" w:color="auto" w:sz="4" w:space="0"/>
            </w:tcBorders>
            <w:vAlign w:val="center"/>
          </w:tcPr>
          <w:p w14:paraId="5A052F60">
            <w:pPr>
              <w:autoSpaceDE w:val="0"/>
              <w:autoSpaceDN w:val="0"/>
              <w:adjustRightInd w:val="0"/>
              <w:jc w:val="center"/>
              <w:rPr>
                <w:rFonts w:ascii="宋体" w:hAnsi="宋体" w:eastAsia="宋体" w:cs="FZSSK--GBK1-0"/>
                <w:kern w:val="0"/>
                <w:szCs w:val="21"/>
              </w:rPr>
            </w:pPr>
            <w:r>
              <w:rPr>
                <w:rFonts w:hint="eastAsia" w:ascii="宋体" w:hAnsi="宋体" w:eastAsia="宋体" w:cs="FZSSK--GBK1-0"/>
                <w:kern w:val="0"/>
                <w:szCs w:val="21"/>
              </w:rPr>
              <w:t>标志</w:t>
            </w:r>
          </w:p>
        </w:tc>
        <w:tc>
          <w:tcPr>
            <w:tcW w:w="2738" w:type="dxa"/>
            <w:tcBorders>
              <w:left w:val="single" w:color="auto" w:sz="4" w:space="0"/>
            </w:tcBorders>
            <w:vAlign w:val="center"/>
          </w:tcPr>
          <w:p w14:paraId="3B3616C9">
            <w:pPr>
              <w:autoSpaceDE w:val="0"/>
              <w:autoSpaceDN w:val="0"/>
              <w:adjustRightInd w:val="0"/>
              <w:jc w:val="center"/>
              <w:rPr>
                <w:rFonts w:ascii="宋体" w:hAnsi="宋体" w:eastAsia="宋体" w:cs="FZSSK--GBK1-0"/>
                <w:kern w:val="0"/>
                <w:szCs w:val="21"/>
              </w:rPr>
            </w:pPr>
            <w:r>
              <w:rPr>
                <w:rFonts w:hint="eastAsia" w:ascii="宋体" w:hAnsi="宋体" w:eastAsia="宋体" w:cs="FZSSK--GBK1-0"/>
                <w:kern w:val="0"/>
                <w:szCs w:val="21"/>
              </w:rPr>
              <w:t>销售包装标志</w:t>
            </w:r>
          </w:p>
        </w:tc>
        <w:tc>
          <w:tcPr>
            <w:tcW w:w="2841" w:type="dxa"/>
            <w:vAlign w:val="center"/>
          </w:tcPr>
          <w:p w14:paraId="548CFC1A">
            <w:pPr>
              <w:jc w:val="center"/>
              <w:rPr>
                <w:rFonts w:ascii="宋体" w:hAnsi="宋体" w:eastAsia="宋体" w:cs="FZSSK--GBK1-0"/>
                <w:kern w:val="0"/>
                <w:szCs w:val="21"/>
              </w:rPr>
            </w:pPr>
            <w:r>
              <w:rPr>
                <w:rFonts w:ascii="宋体" w:hAnsi="宋体" w:eastAsia="宋体" w:cs="FZSSK--GBK1-0"/>
                <w:kern w:val="0"/>
                <w:szCs w:val="21"/>
              </w:rPr>
              <w:t>GB 10631</w:t>
            </w:r>
            <w:r>
              <w:rPr>
                <w:rFonts w:hint="eastAsia" w:ascii="宋体" w:hAnsi="宋体" w:eastAsia="宋体" w:cs="FZSSK--GBK1-0"/>
                <w:kern w:val="0"/>
                <w:szCs w:val="21"/>
              </w:rPr>
              <w:t>-2013</w:t>
            </w:r>
          </w:p>
          <w:p w14:paraId="4F11FF35">
            <w:pPr>
              <w:jc w:val="center"/>
              <w:rPr>
                <w:rFonts w:ascii="宋体" w:hAnsi="宋体" w:eastAsia="宋体" w:cs="FZSSK--GBK1-0"/>
                <w:kern w:val="0"/>
                <w:szCs w:val="21"/>
              </w:rPr>
            </w:pPr>
            <w:r>
              <w:rPr>
                <w:rFonts w:hint="eastAsia" w:ascii="宋体" w:hAnsi="宋体" w:eastAsia="宋体" w:cs="FZSSK--GBK1-0"/>
                <w:kern w:val="0"/>
                <w:szCs w:val="21"/>
              </w:rPr>
              <w:t>GB 24426-2015</w:t>
            </w:r>
          </w:p>
        </w:tc>
      </w:tr>
      <w:tr w14:paraId="2EC9C35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668" w:type="dxa"/>
            <w:vAlign w:val="center"/>
          </w:tcPr>
          <w:p w14:paraId="6692AA96">
            <w:pPr>
              <w:jc w:val="center"/>
              <w:rPr>
                <w:rFonts w:ascii="宋体" w:hAnsi="宋体" w:eastAsia="宋体" w:cs="FZSSK--GBK1-0"/>
                <w:kern w:val="0"/>
                <w:szCs w:val="21"/>
              </w:rPr>
            </w:pPr>
            <w:r>
              <w:rPr>
                <w:rFonts w:hint="eastAsia" w:ascii="宋体" w:hAnsi="宋体" w:eastAsia="宋体" w:cs="FZSSK--GBK1-0"/>
                <w:kern w:val="0"/>
                <w:szCs w:val="21"/>
              </w:rPr>
              <w:t>4</w:t>
            </w:r>
          </w:p>
        </w:tc>
        <w:tc>
          <w:tcPr>
            <w:tcW w:w="1275" w:type="dxa"/>
            <w:tcBorders>
              <w:right w:val="single" w:color="auto" w:sz="4" w:space="0"/>
            </w:tcBorders>
            <w:vAlign w:val="center"/>
          </w:tcPr>
          <w:p w14:paraId="56B2E60A">
            <w:pPr>
              <w:autoSpaceDE w:val="0"/>
              <w:autoSpaceDN w:val="0"/>
              <w:adjustRightInd w:val="0"/>
              <w:jc w:val="center"/>
              <w:rPr>
                <w:rFonts w:ascii="宋体" w:hAnsi="宋体" w:eastAsia="宋体" w:cs="FZSSK--GBK1-0"/>
                <w:kern w:val="0"/>
                <w:szCs w:val="21"/>
              </w:rPr>
            </w:pPr>
            <w:r>
              <w:rPr>
                <w:rFonts w:hint="eastAsia" w:ascii="宋体" w:hAnsi="宋体" w:eastAsia="宋体" w:cs="FZSSK--GBK1-0"/>
                <w:kern w:val="0"/>
                <w:szCs w:val="21"/>
              </w:rPr>
              <w:t>药量</w:t>
            </w:r>
          </w:p>
        </w:tc>
        <w:tc>
          <w:tcPr>
            <w:tcW w:w="2738" w:type="dxa"/>
            <w:tcBorders>
              <w:left w:val="single" w:color="auto" w:sz="4" w:space="0"/>
            </w:tcBorders>
            <w:vAlign w:val="center"/>
          </w:tcPr>
          <w:p w14:paraId="04928613">
            <w:pPr>
              <w:autoSpaceDE w:val="0"/>
              <w:autoSpaceDN w:val="0"/>
              <w:adjustRightInd w:val="0"/>
              <w:jc w:val="center"/>
              <w:rPr>
                <w:rFonts w:ascii="宋体" w:hAnsi="宋体" w:eastAsia="宋体" w:cs="FZSSK--GBK1-0"/>
                <w:kern w:val="0"/>
                <w:szCs w:val="21"/>
              </w:rPr>
            </w:pPr>
            <w:r>
              <w:rPr>
                <w:rFonts w:hint="eastAsia" w:ascii="宋体" w:hAnsi="宋体" w:eastAsia="宋体" w:cs="FZSSK--GBK1-0"/>
                <w:kern w:val="0"/>
                <w:szCs w:val="21"/>
              </w:rPr>
              <w:t>单个最大允许药量</w:t>
            </w:r>
          </w:p>
        </w:tc>
        <w:tc>
          <w:tcPr>
            <w:tcW w:w="2841" w:type="dxa"/>
            <w:vAlign w:val="center"/>
          </w:tcPr>
          <w:p w14:paraId="07FC2C9E">
            <w:pPr>
              <w:jc w:val="center"/>
              <w:rPr>
                <w:rFonts w:ascii="宋体" w:hAnsi="宋体" w:eastAsia="宋体" w:cs="FZSSK--GBK1-0"/>
                <w:kern w:val="0"/>
                <w:szCs w:val="21"/>
              </w:rPr>
            </w:pPr>
            <w:r>
              <w:rPr>
                <w:rFonts w:ascii="宋体" w:hAnsi="宋体" w:eastAsia="宋体" w:cs="FZSSK--GBK1-0"/>
                <w:kern w:val="0"/>
                <w:szCs w:val="21"/>
              </w:rPr>
              <w:t>GB 10631</w:t>
            </w:r>
            <w:r>
              <w:rPr>
                <w:rFonts w:hint="eastAsia" w:ascii="宋体" w:hAnsi="宋体" w:eastAsia="宋体" w:cs="FZSSK--GBK1-0"/>
                <w:kern w:val="0"/>
                <w:szCs w:val="21"/>
              </w:rPr>
              <w:t>-2013</w:t>
            </w:r>
          </w:p>
        </w:tc>
      </w:tr>
      <w:tr w14:paraId="11851D3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668" w:type="dxa"/>
            <w:vAlign w:val="center"/>
          </w:tcPr>
          <w:p w14:paraId="0E7AA96E">
            <w:pPr>
              <w:jc w:val="center"/>
              <w:rPr>
                <w:rFonts w:ascii="宋体" w:hAnsi="宋体" w:eastAsia="宋体" w:cs="FZSSK--GBK1-0"/>
                <w:kern w:val="0"/>
                <w:szCs w:val="21"/>
              </w:rPr>
            </w:pPr>
            <w:r>
              <w:rPr>
                <w:rFonts w:hint="eastAsia" w:ascii="宋体" w:hAnsi="宋体" w:eastAsia="宋体" w:cs="FZSSK--GBK1-0"/>
                <w:kern w:val="0"/>
                <w:szCs w:val="21"/>
              </w:rPr>
              <w:t>5</w:t>
            </w:r>
          </w:p>
        </w:tc>
        <w:tc>
          <w:tcPr>
            <w:tcW w:w="4013" w:type="dxa"/>
            <w:gridSpan w:val="2"/>
            <w:vAlign w:val="center"/>
          </w:tcPr>
          <w:p w14:paraId="5E76571D">
            <w:pPr>
              <w:jc w:val="center"/>
              <w:rPr>
                <w:rFonts w:ascii="宋体" w:hAnsi="宋体" w:eastAsia="宋体" w:cs="FZSSK--GBK1-0"/>
                <w:kern w:val="0"/>
                <w:szCs w:val="21"/>
              </w:rPr>
            </w:pPr>
            <w:r>
              <w:rPr>
                <w:rFonts w:hint="eastAsia" w:ascii="宋体" w:hAnsi="宋体" w:eastAsia="宋体" w:cs="FZSSK--GBK1-0"/>
                <w:kern w:val="0"/>
                <w:szCs w:val="21"/>
              </w:rPr>
              <w:t>水分</w:t>
            </w:r>
          </w:p>
        </w:tc>
        <w:tc>
          <w:tcPr>
            <w:tcW w:w="2841" w:type="dxa"/>
            <w:vAlign w:val="center"/>
          </w:tcPr>
          <w:p w14:paraId="2BEE9718">
            <w:pPr>
              <w:jc w:val="center"/>
              <w:rPr>
                <w:rFonts w:ascii="宋体" w:hAnsi="宋体" w:eastAsia="宋体" w:cs="FZSSK--GBK1-0"/>
                <w:kern w:val="0"/>
                <w:szCs w:val="21"/>
              </w:rPr>
            </w:pPr>
            <w:r>
              <w:rPr>
                <w:rFonts w:ascii="宋体" w:hAnsi="宋体" w:eastAsia="宋体" w:cs="FZSSK--GBK1-0"/>
                <w:kern w:val="0"/>
                <w:szCs w:val="21"/>
              </w:rPr>
              <w:t>GB</w:t>
            </w:r>
            <w:r>
              <w:rPr>
                <w:rFonts w:hint="eastAsia" w:ascii="宋体" w:hAnsi="宋体" w:eastAsia="宋体" w:cs="FZSSK--GBK1-0"/>
                <w:kern w:val="0"/>
                <w:szCs w:val="21"/>
              </w:rPr>
              <w:t>/T 6284-2006</w:t>
            </w:r>
          </w:p>
        </w:tc>
      </w:tr>
      <w:tr w14:paraId="2A9AB2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54" w:hRule="atLeast"/>
        </w:trPr>
        <w:tc>
          <w:tcPr>
            <w:tcW w:w="1668" w:type="dxa"/>
            <w:vAlign w:val="center"/>
          </w:tcPr>
          <w:p w14:paraId="15244743">
            <w:pPr>
              <w:jc w:val="center"/>
              <w:rPr>
                <w:rFonts w:ascii="宋体" w:hAnsi="宋体" w:eastAsia="宋体" w:cs="FZSSK--GBK1-0"/>
                <w:kern w:val="0"/>
                <w:szCs w:val="21"/>
              </w:rPr>
            </w:pPr>
            <w:r>
              <w:rPr>
                <w:rFonts w:hint="eastAsia" w:ascii="宋体" w:hAnsi="宋体" w:eastAsia="宋体" w:cs="FZSSK--GBK1-0"/>
                <w:kern w:val="0"/>
                <w:szCs w:val="21"/>
              </w:rPr>
              <w:t>6</w:t>
            </w:r>
          </w:p>
        </w:tc>
        <w:tc>
          <w:tcPr>
            <w:tcW w:w="4013" w:type="dxa"/>
            <w:gridSpan w:val="2"/>
            <w:vAlign w:val="center"/>
          </w:tcPr>
          <w:p w14:paraId="3D626B7C">
            <w:pPr>
              <w:jc w:val="center"/>
              <w:rPr>
                <w:rFonts w:ascii="宋体" w:hAnsi="宋体" w:eastAsia="宋体" w:cs="FZSSK--GBK1-0"/>
                <w:kern w:val="0"/>
                <w:szCs w:val="21"/>
              </w:rPr>
            </w:pPr>
            <w:r>
              <w:rPr>
                <w:rFonts w:hint="eastAsia" w:ascii="宋体" w:hAnsi="宋体" w:eastAsia="宋体" w:cs="FZSSK--GBK1-0"/>
                <w:kern w:val="0"/>
                <w:szCs w:val="21"/>
              </w:rPr>
              <w:t>pH值</w:t>
            </w:r>
          </w:p>
        </w:tc>
        <w:tc>
          <w:tcPr>
            <w:tcW w:w="2841" w:type="dxa"/>
            <w:vAlign w:val="center"/>
          </w:tcPr>
          <w:p w14:paraId="4745EBC6">
            <w:pPr>
              <w:jc w:val="center"/>
              <w:rPr>
                <w:rFonts w:ascii="宋体" w:hAnsi="宋体" w:eastAsia="宋体" w:cs="FZSSK--GBK1-0"/>
                <w:kern w:val="0"/>
                <w:szCs w:val="21"/>
              </w:rPr>
            </w:pPr>
            <w:r>
              <w:rPr>
                <w:rFonts w:ascii="宋体" w:hAnsi="宋体" w:eastAsia="宋体" w:cs="FZSSK--GBK1-0"/>
                <w:kern w:val="0"/>
                <w:szCs w:val="21"/>
              </w:rPr>
              <w:t>GB</w:t>
            </w:r>
            <w:r>
              <w:rPr>
                <w:rFonts w:hint="eastAsia" w:ascii="宋体" w:hAnsi="宋体" w:eastAsia="宋体" w:cs="FZSSK--GBK1-0"/>
                <w:kern w:val="0"/>
                <w:szCs w:val="21"/>
              </w:rPr>
              <w:t>/T9724-2007</w:t>
            </w:r>
          </w:p>
        </w:tc>
      </w:tr>
    </w:tbl>
    <w:p w14:paraId="73F303B5">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注：1.引火线牢固性仅对安装有点火引火线的产品适用。</w:t>
      </w:r>
    </w:p>
    <w:p w14:paraId="27F58B44">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2．表2</w:t>
      </w:r>
      <w:r>
        <w:rPr>
          <w:rFonts w:ascii="宋体" w:hAnsi="宋体" w:cs="宋体"/>
          <w:snapToGrid w:val="0"/>
          <w:color w:val="000000"/>
          <w:kern w:val="0"/>
          <w:sz w:val="20"/>
          <w:szCs w:val="20"/>
        </w:rPr>
        <w:t xml:space="preserve"> </w:t>
      </w:r>
      <w:r>
        <w:rPr>
          <w:rFonts w:hint="eastAsia" w:ascii="宋体" w:hAnsi="宋体" w:cs="宋体"/>
          <w:snapToGrid w:val="0"/>
          <w:color w:val="000000"/>
          <w:kern w:val="0"/>
          <w:sz w:val="20"/>
          <w:szCs w:val="20"/>
        </w:rPr>
        <w:t>所列检验项目是有关法律法规、标准等规定的，重点涉及健康、安全、节能、环保以及消费者、有关组织反映有质量问题的重要项目。</w:t>
      </w:r>
    </w:p>
    <w:p w14:paraId="43B8FDC4">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3.检验方法包括相关产品标准及试验方法标准。</w:t>
      </w:r>
    </w:p>
    <w:p w14:paraId="316D1A80">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4.凡是注日期的文件，其随后所有的修改单（不包括勘误的内容）或修订版不适用于本细则。凡是不注日期的文件，其最新版本适用于本细则。</w:t>
      </w:r>
    </w:p>
    <w:p w14:paraId="23BA16D8">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5.执行企业标准、团体标准、地方标准的产品，检验项目参照上述内容执行。</w:t>
      </w:r>
    </w:p>
    <w:p w14:paraId="0CE7B6B9">
      <w:pPr>
        <w:autoSpaceDE w:val="0"/>
        <w:autoSpaceDN w:val="0"/>
        <w:adjustRightInd w:val="0"/>
        <w:ind w:firstLine="420" w:firstLineChars="200"/>
        <w:jc w:val="left"/>
        <w:rPr>
          <w:rFonts w:ascii="宋体" w:hAnsi="宋体" w:eastAsia="宋体" w:cs="FZSSK--GBK1-0"/>
          <w:kern w:val="0"/>
          <w:szCs w:val="21"/>
        </w:rPr>
      </w:pPr>
    </w:p>
    <w:p w14:paraId="3A4799F9">
      <w:pPr>
        <w:widowControl/>
        <w:kinsoku w:val="0"/>
        <w:autoSpaceDE w:val="0"/>
        <w:autoSpaceDN w:val="0"/>
        <w:adjustRightInd w:val="0"/>
        <w:snapToGrid w:val="0"/>
        <w:spacing w:before="65" w:line="230" w:lineRule="auto"/>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 </w:t>
      </w:r>
      <w:r>
        <w:rPr>
          <w:rFonts w:hint="eastAsia" w:ascii="黑体" w:hAnsi="黑体" w:eastAsia="黑体" w:cs="黑体"/>
          <w:snapToGrid w:val="0"/>
          <w:color w:val="000000"/>
          <w:spacing w:val="5"/>
          <w:kern w:val="0"/>
          <w:szCs w:val="21"/>
        </w:rPr>
        <w:t>判定规则</w:t>
      </w:r>
    </w:p>
    <w:p w14:paraId="5F42FADA">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3.1 </w:t>
      </w:r>
      <w:r>
        <w:rPr>
          <w:rFonts w:hint="eastAsia" w:ascii="黑体" w:hAnsi="黑体" w:eastAsia="黑体" w:cs="黑体"/>
          <w:snapToGrid w:val="0"/>
          <w:color w:val="000000"/>
          <w:spacing w:val="5"/>
          <w:kern w:val="0"/>
          <w:szCs w:val="21"/>
        </w:rPr>
        <w:t>依据标准</w:t>
      </w:r>
    </w:p>
    <w:p w14:paraId="566FE5F8">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 xml:space="preserve">GB 10631-2013 </w:t>
      </w:r>
      <w:r>
        <w:rPr>
          <w:rFonts w:hint="eastAsia" w:ascii="宋体" w:hAnsi="宋体" w:cs="宋体"/>
          <w:snapToGrid w:val="0"/>
          <w:color w:val="000000"/>
          <w:spacing w:val="7"/>
          <w:kern w:val="0"/>
        </w:rPr>
        <w:t>烟花爆竹安全与质量</w:t>
      </w:r>
    </w:p>
    <w:p w14:paraId="2D47C3AD">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 xml:space="preserve">GB/T 10632-2014 </w:t>
      </w:r>
      <w:r>
        <w:rPr>
          <w:rFonts w:hint="eastAsia" w:ascii="宋体" w:hAnsi="宋体" w:cs="宋体"/>
          <w:snapToGrid w:val="0"/>
          <w:color w:val="000000"/>
          <w:spacing w:val="7"/>
          <w:kern w:val="0"/>
        </w:rPr>
        <w:t>烟花爆竹抽样检查规则</w:t>
      </w:r>
    </w:p>
    <w:p w14:paraId="312C621D">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 xml:space="preserve">GB 24426-2015 </w:t>
      </w:r>
      <w:r>
        <w:rPr>
          <w:rFonts w:hint="eastAsia" w:ascii="宋体" w:hAnsi="宋体" w:cs="宋体"/>
          <w:snapToGrid w:val="0"/>
          <w:color w:val="000000"/>
          <w:spacing w:val="7"/>
          <w:kern w:val="0"/>
        </w:rPr>
        <w:t>烟花爆竹标志</w:t>
      </w:r>
    </w:p>
    <w:p w14:paraId="30787BAE">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现行有效的企业标准、团体标准、地方标准及产品明示质量要求。</w:t>
      </w:r>
    </w:p>
    <w:p w14:paraId="03E318CF">
      <w:pPr>
        <w:widowControl/>
        <w:kinsoku w:val="0"/>
        <w:autoSpaceDE w:val="0"/>
        <w:autoSpaceDN w:val="0"/>
        <w:adjustRightInd w:val="0"/>
        <w:snapToGrid w:val="0"/>
        <w:spacing w:beforeLines="10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3.2 </w:t>
      </w:r>
      <w:r>
        <w:rPr>
          <w:rFonts w:hint="eastAsia" w:ascii="黑体" w:hAnsi="黑体" w:eastAsia="黑体" w:cs="黑体"/>
          <w:snapToGrid w:val="0"/>
          <w:color w:val="000000"/>
          <w:spacing w:val="5"/>
          <w:kern w:val="0"/>
          <w:szCs w:val="21"/>
        </w:rPr>
        <w:t>判定原则</w:t>
      </w:r>
    </w:p>
    <w:p w14:paraId="07E635CA">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经检验，检验项目全部合格，判定为被抽查产品所检项目未发现不合格；检验项目中任一项或一项以上不合格，判定为被抽查产品不合格。</w:t>
      </w:r>
    </w:p>
    <w:p w14:paraId="344B7F0D">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若被检产品明示的质量要求高于本细则中检验项目依据的标准要求时，应按被检产品明示的质量要求判定。</w:t>
      </w:r>
    </w:p>
    <w:p w14:paraId="4FA1A462">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若被检产品明示的质量要求低于本细则中检验项目依据的强制性标准要求时，应按照强制性标准要求判定。</w:t>
      </w:r>
    </w:p>
    <w:p w14:paraId="22C11515">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若被检产品明示的质量要求低于或包含本细则中检验项目依据的推荐性标准要求时，应以被检产品明示的质量要求判定，但应在检验报告备注中进行说明。</w:t>
      </w:r>
    </w:p>
    <w:p w14:paraId="2B8FAD6E">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若被检产品明示的质量要求缺少本细则中检验项目依据的强制性标准要求时，应按照强制性标准要求判定。</w:t>
      </w:r>
    </w:p>
    <w:p w14:paraId="6143BAEC">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hint="eastAsia" w:ascii="宋体" w:hAnsi="宋体" w:cs="宋体"/>
          <w:snapToGrid w:val="0"/>
          <w:color w:val="000000"/>
          <w:spacing w:val="7"/>
          <w:kern w:val="0"/>
        </w:rPr>
        <w:t>若被检产品明示的质量要求缺少本细则中检验项目依据的推荐性标准要求时，该项目不参与判定，但应在检验报告备注中进行说明。</w:t>
      </w:r>
    </w:p>
    <w:sectPr>
      <w:headerReference r:id="rId3" w:type="default"/>
      <w:footerReference r:id="rId4" w:type="default"/>
      <w:pgSz w:w="11906" w:h="16838"/>
      <w:pgMar w:top="1701" w:right="1588"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FZSSK--GBK1-0">
    <w:altName w:val="方正舒体"/>
    <w:panose1 w:val="00000000000000000000"/>
    <w:charset w:val="86"/>
    <w:family w:val="auto"/>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FZHTK--GBK1-0">
    <w:altName w:val="方正舒体"/>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C9AAA">
    <w:pPr>
      <w:pStyle w:val="4"/>
      <w:jc w:val="center"/>
      <w:rPr>
        <w:lang w:val="zh-CN"/>
      </w:rPr>
    </w:pPr>
  </w:p>
  <w:p w14:paraId="6F193E44">
    <w:pPr>
      <w:pStyle w:val="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3395BE">
    <w:pPr>
      <w:jc w:val="right"/>
      <w:rPr>
        <w:rFonts w:hint="default" w:eastAsia="华文中宋"/>
        <w:lang w:val="en-US" w:eastAsia="zh-CN"/>
      </w:rPr>
    </w:pPr>
    <w:r>
      <w:rPr>
        <w:rFonts w:ascii="Times New Roman" w:hAnsi="Times New Roman" w:eastAsia="华文中宋" w:cs="Times New Roman"/>
        <w:b/>
        <w:snapToGrid w:val="0"/>
        <w:sz w:val="24"/>
        <w:szCs w:val="24"/>
      </w:rPr>
      <w:t>DZSJDCC202</w:t>
    </w:r>
    <w:r>
      <w:rPr>
        <w:rFonts w:hint="eastAsia" w:ascii="Times New Roman" w:hAnsi="Times New Roman" w:eastAsia="华文中宋" w:cs="Times New Roman"/>
        <w:b/>
        <w:snapToGrid w:val="0"/>
        <w:sz w:val="24"/>
        <w:szCs w:val="24"/>
      </w:rPr>
      <w:t>6</w:t>
    </w:r>
    <w:r>
      <w:rPr>
        <w:rFonts w:ascii="Times New Roman" w:hAnsi="Times New Roman" w:eastAsia="华文中宋" w:cs="Times New Roman"/>
        <w:b/>
        <w:snapToGrid w:val="0"/>
        <w:sz w:val="24"/>
        <w:szCs w:val="24"/>
      </w:rPr>
      <w:t>年0</w:t>
    </w:r>
    <w:r>
      <w:rPr>
        <w:rFonts w:hint="eastAsia" w:ascii="Times New Roman" w:hAnsi="Times New Roman" w:eastAsia="华文中宋" w:cs="Times New Roman"/>
        <w:b/>
        <w:snapToGrid w:val="0"/>
        <w:sz w:val="24"/>
        <w:szCs w:val="24"/>
        <w:lang w:val="en-US" w:eastAsia="zh-CN"/>
      </w:rPr>
      <w:t>06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5269B"/>
    <w:rsid w:val="000E1DA5"/>
    <w:rsid w:val="00121BFC"/>
    <w:rsid w:val="00134B9E"/>
    <w:rsid w:val="00134D85"/>
    <w:rsid w:val="00161817"/>
    <w:rsid w:val="001F7C2E"/>
    <w:rsid w:val="002726DC"/>
    <w:rsid w:val="002C6591"/>
    <w:rsid w:val="00335184"/>
    <w:rsid w:val="00355CB6"/>
    <w:rsid w:val="003922F3"/>
    <w:rsid w:val="004B1DA3"/>
    <w:rsid w:val="004D4792"/>
    <w:rsid w:val="005135B9"/>
    <w:rsid w:val="00567475"/>
    <w:rsid w:val="005926FD"/>
    <w:rsid w:val="005B6E70"/>
    <w:rsid w:val="005E7F70"/>
    <w:rsid w:val="00630524"/>
    <w:rsid w:val="006C5262"/>
    <w:rsid w:val="00745D2C"/>
    <w:rsid w:val="0075269B"/>
    <w:rsid w:val="007713A5"/>
    <w:rsid w:val="008328DA"/>
    <w:rsid w:val="00903571"/>
    <w:rsid w:val="00917347"/>
    <w:rsid w:val="009B4DC6"/>
    <w:rsid w:val="00A67C84"/>
    <w:rsid w:val="00AF4CCC"/>
    <w:rsid w:val="00B508EA"/>
    <w:rsid w:val="00BC29C7"/>
    <w:rsid w:val="00BE2F39"/>
    <w:rsid w:val="00C10F69"/>
    <w:rsid w:val="00C67CDE"/>
    <w:rsid w:val="00D231BB"/>
    <w:rsid w:val="00D26B69"/>
    <w:rsid w:val="00D82D5C"/>
    <w:rsid w:val="00DB6712"/>
    <w:rsid w:val="00DD7053"/>
    <w:rsid w:val="00E8068E"/>
    <w:rsid w:val="00EA1C0A"/>
    <w:rsid w:val="00EB61D7"/>
    <w:rsid w:val="00FA1A2D"/>
    <w:rsid w:val="00FE1EFC"/>
    <w:rsid w:val="00FE5C42"/>
    <w:rsid w:val="2E3C3CA4"/>
    <w:rsid w:val="30DB6C6B"/>
    <w:rsid w:val="31694682"/>
    <w:rsid w:val="7F901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
    <w:unhideWhenUsed/>
    <w:qFormat/>
    <w:uiPriority w:val="0"/>
    <w:pPr>
      <w:spacing w:after="120"/>
    </w:pPr>
    <w:rPr>
      <w:rFonts w:ascii="Calibri" w:hAnsi="Calibri" w:eastAsia="宋体" w:cs="Calibri"/>
      <w:szCs w:val="21"/>
    </w:r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正文文本 Char"/>
    <w:basedOn w:val="8"/>
    <w:link w:val="2"/>
    <w:qFormat/>
    <w:uiPriority w:val="0"/>
    <w:rPr>
      <w:rFonts w:ascii="Calibri" w:hAnsi="Calibri" w:eastAsia="宋体" w:cs="Calibri"/>
      <w:szCs w:val="21"/>
    </w:rPr>
  </w:style>
  <w:style w:type="character" w:customStyle="1" w:styleId="13">
    <w:name w:val="批注框文本 Char"/>
    <w:basedOn w:val="8"/>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906</Words>
  <Characters>1061</Characters>
  <Lines>8</Lines>
  <Paragraphs>2</Paragraphs>
  <TotalTime>85</TotalTime>
  <ScaleCrop>false</ScaleCrop>
  <LinksUpToDate>false</LinksUpToDate>
  <CharactersWithSpaces>1083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2024-12-26T04:59:00Z</dcterms:created>
  <dc:creator>Microsoft</dc:creator>
  <cp:lastModifiedBy>JASMIN</cp:lastModifiedBy>
  <cp:lastPrinted>2024-12-27T03:34:00Z</cp:lastPrinted>
  <dcterms:modified xsi:type="dcterms:W3CDTF">2025-12-16T02:03:27Z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eyJoZGlkIjoiZjFhNTYxNTFlZTljZDJiMjkwZjg5M2ZiOWQyOGZlMjUiLCJ1c2VySWQiOiI0MjMyNzE4MjAifQ==</vt:lpwstr>
  </property>
  <property fmtid="{D5CDD505-2E9C-101B-9397-08002B2CF9AE}" pid="3" name="KSOProductBuildVer">
    <vt:lpwstr>2052-12.1.0.24034</vt:lpwstr>
  </property>
  <property fmtid="{D5CDD505-2E9C-101B-9397-08002B2CF9AE}" pid="4" name="ICV">
    <vt:lpwstr>29628B1D665D46EBB87088A25A016110_12</vt:lpwstr>
  </property>
</Properties>
</file>