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3" w:line="226" w:lineRule="auto"/>
        <w:jc w:val="center"/>
        <w:outlineLvl w:val="0"/>
        <w:rPr>
          <w:rFonts w:hint="eastAsia" w:ascii="方正小标宋简体" w:hAnsi="黑体" w:eastAsia="方正小标宋简体" w:cs="黑体"/>
          <w:spacing w:val="8"/>
          <w:sz w:val="36"/>
          <w:szCs w:val="36"/>
          <w:lang w:eastAsia="zh-CN"/>
        </w:rPr>
      </w:pPr>
      <w:r>
        <w:rPr>
          <w:rFonts w:hint="eastAsia" w:ascii="方正小标宋简体" w:hAnsi="黑体" w:eastAsia="方正小标宋简体" w:cs="黑体"/>
          <w:spacing w:val="8"/>
          <w:sz w:val="36"/>
          <w:szCs w:val="36"/>
          <w:lang w:eastAsia="zh-CN"/>
        </w:rPr>
        <w:t>达州市</w:t>
      </w:r>
      <w:r>
        <w:rPr>
          <w:rFonts w:ascii="方正小标宋简体" w:hAnsi="黑体" w:eastAsia="方正小标宋简体" w:cs="黑体"/>
          <w:spacing w:val="8"/>
          <w:sz w:val="36"/>
          <w:szCs w:val="36"/>
          <w:lang w:eastAsia="zh-CN"/>
        </w:rPr>
        <w:t>卫生纸产品质量</w:t>
      </w:r>
      <w:r>
        <w:rPr>
          <w:rFonts w:hint="eastAsia" w:ascii="方正小标宋简体" w:hAnsi="黑体" w:eastAsia="方正小标宋简体" w:cs="黑体"/>
          <w:spacing w:val="8"/>
          <w:sz w:val="36"/>
          <w:szCs w:val="36"/>
          <w:lang w:eastAsia="zh-CN"/>
        </w:rPr>
        <w:t>市</w:t>
      </w:r>
      <w:r>
        <w:rPr>
          <w:rFonts w:ascii="方正小标宋简体" w:hAnsi="黑体" w:eastAsia="方正小标宋简体" w:cs="黑体"/>
          <w:spacing w:val="8"/>
          <w:sz w:val="36"/>
          <w:szCs w:val="36"/>
          <w:lang w:eastAsia="zh-CN"/>
        </w:rPr>
        <w:t>级监督抽查实施细则</w:t>
      </w:r>
    </w:p>
    <w:p>
      <w:pPr>
        <w:spacing w:before="163" w:line="226" w:lineRule="auto"/>
        <w:jc w:val="center"/>
        <w:outlineLvl w:val="0"/>
        <w:rPr>
          <w:rFonts w:ascii="方正小标宋简体" w:hAnsi="黑体" w:eastAsia="方正小标宋简体" w:cs="黑体"/>
          <w:spacing w:val="8"/>
          <w:sz w:val="36"/>
          <w:szCs w:val="36"/>
          <w:lang w:eastAsia="zh-CN"/>
        </w:rPr>
      </w:pPr>
      <w:r>
        <w:rPr>
          <w:rFonts w:ascii="方正小标宋简体" w:hAnsi="黑体" w:eastAsia="方正小标宋简体" w:cs="黑体"/>
          <w:spacing w:val="8"/>
          <w:sz w:val="36"/>
          <w:szCs w:val="36"/>
          <w:lang w:eastAsia="zh-CN"/>
        </w:rPr>
        <w:t>（202</w:t>
      </w:r>
      <w:r>
        <w:rPr>
          <w:rFonts w:hint="eastAsia" w:ascii="方正小标宋简体" w:hAnsi="黑体" w:eastAsia="方正小标宋简体" w:cs="黑体"/>
          <w:spacing w:val="8"/>
          <w:sz w:val="36"/>
          <w:szCs w:val="36"/>
          <w:lang w:val="en-US" w:eastAsia="zh-CN"/>
        </w:rPr>
        <w:t>6</w:t>
      </w:r>
      <w:r>
        <w:rPr>
          <w:rFonts w:ascii="方正小标宋简体" w:hAnsi="黑体" w:eastAsia="方正小标宋简体" w:cs="黑体"/>
          <w:spacing w:val="8"/>
          <w:sz w:val="36"/>
          <w:szCs w:val="36"/>
          <w:lang w:eastAsia="zh-CN"/>
        </w:rPr>
        <w:t xml:space="preserve"> 版）</w:t>
      </w:r>
    </w:p>
    <w:p>
      <w:pPr>
        <w:spacing w:before="163" w:line="226" w:lineRule="auto"/>
        <w:jc w:val="center"/>
        <w:outlineLvl w:val="0"/>
        <w:rPr>
          <w:rFonts w:ascii="方正小标宋简体" w:hAnsi="黑体" w:eastAsia="方正小标宋简体" w:cs="黑体"/>
          <w:spacing w:val="8"/>
          <w:sz w:val="36"/>
          <w:szCs w:val="36"/>
          <w:lang w:eastAsia="zh-CN"/>
        </w:rPr>
      </w:pPr>
    </w:p>
    <w:p>
      <w:pPr>
        <w:widowControl w:val="0"/>
        <w:kinsoku/>
        <w:autoSpaceDE/>
        <w:autoSpaceDN/>
        <w:adjustRightInd/>
        <w:snapToGrid/>
        <w:jc w:val="both"/>
        <w:textAlignment w:val="auto"/>
        <w:rPr>
          <w:rFonts w:ascii="黑体" w:hAnsi="黑体" w:eastAsia="黑体" w:cstheme="minorBidi"/>
          <w:snapToGrid/>
          <w:color w:val="auto"/>
          <w:kern w:val="2"/>
          <w:lang w:eastAsia="zh-CN"/>
        </w:rPr>
      </w:pPr>
      <w:r>
        <w:rPr>
          <w:rFonts w:ascii="黑体" w:hAnsi="黑体" w:eastAsia="黑体" w:cstheme="minorBidi"/>
          <w:snapToGrid/>
          <w:color w:val="auto"/>
          <w:kern w:val="2"/>
          <w:lang w:eastAsia="zh-CN"/>
        </w:rPr>
        <w:t>1  抽样方法</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以随机抽样的方式在被抽样生产者、销售者的待销产品中抽取。</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随机数一般可使用随机数表等方法产生。</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 xml:space="preserve">每批次卫生纸产品随机抽取样品 </w:t>
      </w:r>
      <w:r>
        <w:rPr>
          <w:rFonts w:hint="eastAsia" w:ascii="宋体" w:hAnsi="宋体" w:eastAsia="宋体" w:cs="宋体"/>
          <w:spacing w:val="7"/>
          <w:sz w:val="21"/>
          <w:szCs w:val="21"/>
          <w:lang w:eastAsia="zh-CN"/>
        </w:rPr>
        <w:t>3</w:t>
      </w:r>
      <w:r>
        <w:rPr>
          <w:rFonts w:ascii="宋体" w:hAnsi="宋体" w:eastAsia="宋体" w:cs="宋体"/>
          <w:spacing w:val="7"/>
          <w:sz w:val="21"/>
          <w:szCs w:val="21"/>
          <w:lang w:eastAsia="zh-CN"/>
        </w:rPr>
        <w:t xml:space="preserve">个最小销售包装，其中 </w:t>
      </w:r>
      <w:r>
        <w:rPr>
          <w:rFonts w:hint="eastAsia" w:ascii="宋体" w:hAnsi="宋体" w:eastAsia="宋体" w:cs="宋体"/>
          <w:spacing w:val="7"/>
          <w:sz w:val="21"/>
          <w:szCs w:val="21"/>
          <w:lang w:eastAsia="zh-CN"/>
        </w:rPr>
        <w:t>2</w:t>
      </w:r>
      <w:r>
        <w:rPr>
          <w:rFonts w:ascii="宋体" w:hAnsi="宋体" w:eastAsia="宋体" w:cs="宋体"/>
          <w:spacing w:val="7"/>
          <w:sz w:val="21"/>
          <w:szCs w:val="21"/>
          <w:lang w:eastAsia="zh-CN"/>
        </w:rPr>
        <w:t>个作为检验样品，</w:t>
      </w:r>
      <w:r>
        <w:rPr>
          <w:rFonts w:hint="eastAsia" w:ascii="宋体" w:hAnsi="宋体" w:eastAsia="宋体" w:cs="宋体"/>
          <w:spacing w:val="7"/>
          <w:sz w:val="21"/>
          <w:szCs w:val="21"/>
          <w:lang w:eastAsia="zh-CN"/>
        </w:rPr>
        <w:t>1</w:t>
      </w:r>
      <w:r>
        <w:rPr>
          <w:rFonts w:ascii="宋体" w:hAnsi="宋体" w:eastAsia="宋体" w:cs="宋体"/>
          <w:spacing w:val="7"/>
          <w:sz w:val="21"/>
          <w:szCs w:val="21"/>
          <w:lang w:eastAsia="zh-CN"/>
        </w:rPr>
        <w:t xml:space="preserve"> 个作 为备用样品。备用样品封存于受检单位。</w:t>
      </w:r>
    </w:p>
    <w:p>
      <w:pPr>
        <w:spacing w:line="277" w:lineRule="auto"/>
        <w:rPr>
          <w:lang w:eastAsia="zh-CN"/>
        </w:rPr>
      </w:pPr>
    </w:p>
    <w:p>
      <w:pPr>
        <w:widowControl w:val="0"/>
        <w:kinsoku/>
        <w:autoSpaceDE/>
        <w:autoSpaceDN/>
        <w:adjustRightInd/>
        <w:snapToGrid/>
        <w:jc w:val="both"/>
        <w:textAlignment w:val="auto"/>
        <w:rPr>
          <w:rFonts w:ascii="黑体" w:hAnsi="黑体" w:eastAsia="黑体" w:cstheme="minorBidi"/>
          <w:snapToGrid/>
          <w:color w:val="auto"/>
          <w:kern w:val="2"/>
          <w:lang w:eastAsia="zh-CN"/>
        </w:rPr>
      </w:pPr>
      <w:r>
        <w:rPr>
          <w:rFonts w:ascii="黑体" w:hAnsi="黑体" w:eastAsia="黑体" w:cstheme="minorBidi"/>
          <w:snapToGrid/>
          <w:color w:val="auto"/>
          <w:kern w:val="2"/>
          <w:lang w:eastAsia="zh-CN"/>
        </w:rPr>
        <w:t>2  检验依据</w:t>
      </w:r>
    </w:p>
    <w:p>
      <w:pPr>
        <w:widowControl w:val="0"/>
        <w:kinsoku/>
        <w:autoSpaceDE/>
        <w:autoSpaceDN/>
        <w:adjustRightInd/>
        <w:snapToGrid/>
        <w:spacing w:beforeLines="50" w:afterLines="50"/>
        <w:jc w:val="center"/>
        <w:textAlignment w:val="auto"/>
        <w:rPr>
          <w:rFonts w:ascii="黑体" w:hAnsi="黑体" w:eastAsia="黑体" w:cs="黑体"/>
          <w:snapToGrid/>
          <w:color w:val="auto"/>
          <w:kern w:val="2"/>
          <w:szCs w:val="24"/>
          <w:lang w:eastAsia="zh-CN"/>
        </w:rPr>
      </w:pPr>
      <w:r>
        <w:rPr>
          <w:rFonts w:ascii="黑体" w:hAnsi="黑体" w:eastAsia="黑体" w:cs="黑体"/>
          <w:snapToGrid/>
          <w:color w:val="auto"/>
          <w:kern w:val="2"/>
          <w:szCs w:val="24"/>
          <w:lang w:eastAsia="zh-CN"/>
        </w:rPr>
        <w:t>表</w:t>
      </w:r>
      <w:r>
        <w:rPr>
          <w:rFonts w:hint="eastAsia" w:ascii="黑体" w:hAnsi="黑体" w:eastAsia="黑体" w:cs="黑体"/>
          <w:snapToGrid/>
          <w:color w:val="auto"/>
          <w:kern w:val="2"/>
          <w:szCs w:val="24"/>
          <w:lang w:eastAsia="zh-CN"/>
        </w:rPr>
        <w:t>1</w:t>
      </w:r>
      <w:r>
        <w:rPr>
          <w:rFonts w:ascii="黑体" w:hAnsi="黑体" w:eastAsia="黑体" w:cs="黑体"/>
          <w:snapToGrid/>
          <w:color w:val="auto"/>
          <w:kern w:val="2"/>
          <w:szCs w:val="24"/>
          <w:lang w:eastAsia="zh-CN"/>
        </w:rPr>
        <w:t xml:space="preserve"> 卫生纸检验项目</w:t>
      </w:r>
    </w:p>
    <w:tbl>
      <w:tblPr>
        <w:tblStyle w:val="7"/>
        <w:tblW w:w="8238" w:type="dxa"/>
        <w:tblInd w:w="5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2"/>
        <w:gridCol w:w="3698"/>
        <w:gridCol w:w="361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22"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cs="黑体" w:asciiTheme="minorEastAsia" w:hAnsiTheme="minorEastAsia" w:eastAsiaTheme="minorEastAsia"/>
                <w:snapToGrid/>
                <w:color w:val="auto"/>
                <w:lang w:eastAsia="zh-CN"/>
              </w:rPr>
              <w:t>序号</w:t>
            </w:r>
          </w:p>
        </w:tc>
        <w:tc>
          <w:tcPr>
            <w:tcW w:w="369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cs="黑体" w:asciiTheme="minorEastAsia" w:hAnsiTheme="minorEastAsia" w:eastAsiaTheme="minorEastAsia"/>
                <w:snapToGrid/>
                <w:color w:val="auto"/>
                <w:lang w:eastAsia="zh-CN"/>
              </w:rPr>
              <w:t>检验项目</w:t>
            </w:r>
          </w:p>
        </w:tc>
        <w:tc>
          <w:tcPr>
            <w:tcW w:w="361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cs="黑体" w:asciiTheme="minorEastAsia" w:hAnsiTheme="minorEastAsia" w:eastAsiaTheme="minorEastAsia"/>
                <w:snapToGrid/>
                <w:color w:val="auto"/>
                <w:lang w:eastAsia="zh-CN"/>
              </w:rPr>
              <w:t>检验方法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22"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hint="eastAsia" w:cs="黑体" w:asciiTheme="minorEastAsia" w:hAnsiTheme="minorEastAsia" w:eastAsiaTheme="minorEastAsia"/>
                <w:snapToGrid/>
                <w:color w:val="auto"/>
                <w:lang w:eastAsia="zh-CN"/>
              </w:rPr>
              <w:t>1</w:t>
            </w:r>
          </w:p>
        </w:tc>
        <w:tc>
          <w:tcPr>
            <w:tcW w:w="369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cs="黑体" w:asciiTheme="minorEastAsia" w:hAnsiTheme="minorEastAsia" w:eastAsiaTheme="minorEastAsia"/>
                <w:snapToGrid/>
                <w:color w:val="auto"/>
                <w:lang w:eastAsia="zh-CN"/>
              </w:rPr>
              <w:t>D65 亮度</w:t>
            </w:r>
          </w:p>
        </w:tc>
        <w:tc>
          <w:tcPr>
            <w:tcW w:w="361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cs="黑体" w:asciiTheme="minorEastAsia" w:hAnsiTheme="minorEastAsia" w:eastAsiaTheme="minorEastAsia"/>
                <w:snapToGrid/>
                <w:color w:val="auto"/>
                <w:lang w:eastAsia="zh-CN"/>
              </w:rPr>
              <w:t>GB/T 7974-2013</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22"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hint="eastAsia" w:cs="黑体" w:asciiTheme="minorEastAsia" w:hAnsiTheme="minorEastAsia" w:eastAsiaTheme="minorEastAsia"/>
                <w:snapToGrid/>
                <w:color w:val="auto"/>
                <w:lang w:eastAsia="zh-CN"/>
              </w:rPr>
              <w:t>2</w:t>
            </w:r>
          </w:p>
        </w:tc>
        <w:tc>
          <w:tcPr>
            <w:tcW w:w="369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cs="黑体" w:asciiTheme="minorEastAsia" w:hAnsiTheme="minorEastAsia" w:eastAsiaTheme="minorEastAsia"/>
                <w:snapToGrid/>
                <w:color w:val="auto"/>
                <w:lang w:eastAsia="zh-CN"/>
              </w:rPr>
              <w:t>横向吸液高度</w:t>
            </w:r>
          </w:p>
        </w:tc>
        <w:tc>
          <w:tcPr>
            <w:tcW w:w="361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cs="黑体" w:asciiTheme="minorEastAsia" w:hAnsiTheme="minorEastAsia" w:eastAsiaTheme="minorEastAsia"/>
                <w:snapToGrid/>
                <w:color w:val="auto"/>
                <w:lang w:eastAsia="zh-CN"/>
              </w:rPr>
              <w:t>GB/T 461.1-2002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22"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hint="eastAsia" w:cs="黑体" w:asciiTheme="minorEastAsia" w:hAnsiTheme="minorEastAsia" w:eastAsiaTheme="minorEastAsia"/>
                <w:snapToGrid/>
                <w:color w:val="auto"/>
                <w:lang w:eastAsia="zh-CN"/>
              </w:rPr>
              <w:t>3</w:t>
            </w:r>
          </w:p>
        </w:tc>
        <w:tc>
          <w:tcPr>
            <w:tcW w:w="369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cs="黑体" w:asciiTheme="minorEastAsia" w:hAnsiTheme="minorEastAsia" w:eastAsiaTheme="minorEastAsia"/>
                <w:snapToGrid/>
                <w:color w:val="auto"/>
                <w:lang w:eastAsia="zh-CN"/>
              </w:rPr>
              <w:t>抗张指数</w:t>
            </w:r>
          </w:p>
        </w:tc>
        <w:tc>
          <w:tcPr>
            <w:tcW w:w="361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cs="黑体" w:asciiTheme="minorEastAsia" w:hAnsiTheme="minorEastAsia" w:eastAsiaTheme="minorEastAsia"/>
                <w:snapToGrid/>
                <w:color w:val="auto"/>
                <w:lang w:eastAsia="zh-CN"/>
              </w:rPr>
              <w:t>GB/T 24328.3-2020</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22"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hint="eastAsia" w:cs="黑体" w:asciiTheme="minorEastAsia" w:hAnsiTheme="minorEastAsia" w:eastAsiaTheme="minorEastAsia"/>
                <w:snapToGrid/>
                <w:color w:val="auto"/>
                <w:lang w:eastAsia="zh-CN"/>
              </w:rPr>
              <w:t>4</w:t>
            </w:r>
          </w:p>
        </w:tc>
        <w:tc>
          <w:tcPr>
            <w:tcW w:w="369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cs="黑体" w:asciiTheme="minorEastAsia" w:hAnsiTheme="minorEastAsia" w:eastAsiaTheme="minorEastAsia"/>
                <w:snapToGrid/>
                <w:color w:val="auto"/>
                <w:lang w:eastAsia="zh-CN"/>
              </w:rPr>
              <w:t>柔软度</w:t>
            </w:r>
          </w:p>
        </w:tc>
        <w:tc>
          <w:tcPr>
            <w:tcW w:w="361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cs="黑体" w:asciiTheme="minorEastAsia" w:hAnsiTheme="minorEastAsia" w:eastAsiaTheme="minorEastAsia"/>
                <w:snapToGrid/>
                <w:color w:val="auto"/>
                <w:lang w:eastAsia="zh-CN"/>
              </w:rPr>
              <w:t>GB/T 8942-2016</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22"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hint="eastAsia" w:cs="黑体" w:asciiTheme="minorEastAsia" w:hAnsiTheme="minorEastAsia" w:eastAsiaTheme="minorEastAsia"/>
                <w:snapToGrid/>
                <w:color w:val="auto"/>
                <w:lang w:eastAsia="zh-CN"/>
              </w:rPr>
              <w:t>5</w:t>
            </w:r>
          </w:p>
        </w:tc>
        <w:tc>
          <w:tcPr>
            <w:tcW w:w="369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hint="eastAsia" w:cs="黑体" w:asciiTheme="minorEastAsia" w:hAnsiTheme="minorEastAsia" w:eastAsiaTheme="minorEastAsia"/>
                <w:snapToGrid/>
                <w:color w:val="auto"/>
                <w:lang w:eastAsia="zh-CN"/>
              </w:rPr>
              <w:t>洞眼</w:t>
            </w:r>
          </w:p>
        </w:tc>
        <w:tc>
          <w:tcPr>
            <w:tcW w:w="361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hint="eastAsia" w:cs="黑体" w:asciiTheme="minorEastAsia" w:hAnsiTheme="minorEastAsia" w:eastAsiaTheme="minorEastAsia"/>
                <w:snapToGrid/>
                <w:color w:val="auto"/>
                <w:lang w:eastAsia="zh-CN"/>
              </w:rPr>
              <w:t>GB 20810-2018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922"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hint="eastAsia" w:cs="黑体" w:asciiTheme="minorEastAsia" w:hAnsiTheme="minorEastAsia" w:eastAsiaTheme="minorEastAsia"/>
                <w:snapToGrid/>
                <w:color w:val="auto"/>
                <w:lang w:eastAsia="zh-CN"/>
              </w:rPr>
              <w:t>6</w:t>
            </w:r>
          </w:p>
        </w:tc>
        <w:tc>
          <w:tcPr>
            <w:tcW w:w="369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hint="eastAsia" w:cs="黑体" w:asciiTheme="minorEastAsia" w:hAnsiTheme="minorEastAsia" w:eastAsiaTheme="minorEastAsia"/>
                <w:snapToGrid/>
                <w:color w:val="auto"/>
                <w:lang w:eastAsia="zh-CN"/>
              </w:rPr>
              <w:t>尘埃度</w:t>
            </w:r>
          </w:p>
        </w:tc>
        <w:tc>
          <w:tcPr>
            <w:tcW w:w="3618" w:type="dxa"/>
            <w:vAlign w:val="center"/>
          </w:tcPr>
          <w:p>
            <w:pPr>
              <w:widowControl w:val="0"/>
              <w:kinsoku/>
              <w:snapToGrid/>
              <w:jc w:val="center"/>
              <w:textAlignment w:val="auto"/>
              <w:rPr>
                <w:rFonts w:cs="黑体" w:asciiTheme="minorEastAsia" w:hAnsiTheme="minorEastAsia" w:eastAsiaTheme="minorEastAsia"/>
                <w:snapToGrid/>
                <w:color w:val="auto"/>
                <w:lang w:eastAsia="zh-CN"/>
              </w:rPr>
            </w:pPr>
            <w:r>
              <w:rPr>
                <w:rFonts w:hint="eastAsia" w:cs="黑体" w:asciiTheme="minorEastAsia" w:hAnsiTheme="minorEastAsia" w:eastAsiaTheme="minorEastAsia"/>
                <w:snapToGrid/>
                <w:color w:val="auto"/>
                <w:lang w:eastAsia="zh-CN"/>
              </w:rPr>
              <w:t>GB/T 1541-2013</w:t>
            </w:r>
          </w:p>
        </w:tc>
      </w:tr>
    </w:tbl>
    <w:p>
      <w:pPr>
        <w:pStyle w:val="2"/>
        <w:spacing w:line="300" w:lineRule="exact"/>
        <w:ind w:firstLine="400" w:firstLineChars="200"/>
        <w:jc w:val="both"/>
        <w:rPr>
          <w:rFonts w:ascii="宋体" w:hAnsi="宋体" w:eastAsia="宋体" w:cs="宋体"/>
          <w:lang w:eastAsia="zh-CN"/>
        </w:rPr>
      </w:pPr>
      <w:r>
        <w:rPr>
          <w:rFonts w:ascii="宋体" w:hAnsi="宋体" w:eastAsia="宋体" w:cs="宋体"/>
          <w:lang w:eastAsia="zh-CN"/>
        </w:rPr>
        <w:t>注：1.上表所列检验项目是有关法律法规、标准等规定的，重点涉及健康、安全、节能、环保以及消费者、有关组织反映有质量问题的重要项目。</w:t>
      </w:r>
    </w:p>
    <w:p>
      <w:pPr>
        <w:pStyle w:val="2"/>
        <w:spacing w:line="300" w:lineRule="exact"/>
        <w:ind w:firstLine="400" w:firstLineChars="200"/>
        <w:jc w:val="both"/>
        <w:rPr>
          <w:rFonts w:ascii="宋体" w:hAnsi="宋体" w:eastAsia="宋体" w:cs="宋体"/>
          <w:lang w:eastAsia="zh-CN"/>
        </w:rPr>
      </w:pPr>
      <w:r>
        <w:rPr>
          <w:rFonts w:ascii="宋体" w:hAnsi="宋体" w:eastAsia="宋体" w:cs="宋体"/>
          <w:lang w:eastAsia="zh-CN"/>
        </w:rPr>
        <w:t>2.检验方法包括相关产品标准及试验方法标准。</w:t>
      </w:r>
    </w:p>
    <w:p>
      <w:pPr>
        <w:pStyle w:val="2"/>
        <w:spacing w:line="300" w:lineRule="exact"/>
        <w:ind w:firstLine="400" w:firstLineChars="200"/>
        <w:jc w:val="both"/>
        <w:rPr>
          <w:rFonts w:ascii="宋体" w:hAnsi="宋体" w:eastAsia="宋体" w:cs="宋体"/>
          <w:lang w:eastAsia="zh-CN"/>
        </w:rPr>
      </w:pPr>
      <w:r>
        <w:rPr>
          <w:rFonts w:ascii="宋体" w:hAnsi="宋体" w:eastAsia="宋体" w:cs="宋体"/>
          <w:lang w:eastAsia="zh-CN"/>
        </w:rPr>
        <w:t>3.凡是注日期的文件，其随后所有的修改单（不包括勘误的内容）或修订版不适用于本细则。凡是不注日期的文件，其最新版本适用于本细则。</w:t>
      </w:r>
    </w:p>
    <w:p>
      <w:pPr>
        <w:pStyle w:val="2"/>
        <w:spacing w:line="300" w:lineRule="exact"/>
        <w:ind w:firstLine="400" w:firstLineChars="200"/>
        <w:jc w:val="both"/>
        <w:rPr>
          <w:rFonts w:ascii="宋体" w:hAnsi="宋体" w:eastAsia="宋体" w:cs="宋体"/>
          <w:lang w:eastAsia="zh-CN"/>
        </w:rPr>
      </w:pPr>
      <w:r>
        <w:rPr>
          <w:rFonts w:ascii="宋体" w:hAnsi="宋体" w:eastAsia="宋体" w:cs="宋体"/>
          <w:lang w:eastAsia="zh-CN"/>
        </w:rPr>
        <w:t>4.执行企业标准、团体标准、地方标准的产品，检验项目参照上述内容执行。</w:t>
      </w:r>
    </w:p>
    <w:p>
      <w:pPr>
        <w:pStyle w:val="2"/>
        <w:spacing w:before="66" w:line="230" w:lineRule="auto"/>
        <w:ind w:left="22"/>
        <w:rPr>
          <w:spacing w:val="5"/>
          <w:lang w:eastAsia="zh-CN"/>
        </w:rPr>
      </w:pPr>
    </w:p>
    <w:p>
      <w:pPr>
        <w:pStyle w:val="2"/>
        <w:spacing w:before="66" w:line="230" w:lineRule="auto"/>
        <w:ind w:left="22"/>
        <w:rPr>
          <w:spacing w:val="5"/>
          <w:lang w:eastAsia="zh-CN"/>
        </w:rPr>
      </w:pPr>
      <w:r>
        <w:rPr>
          <w:spacing w:val="5"/>
          <w:lang w:eastAsia="zh-CN"/>
        </w:rPr>
        <w:t>3  判定规则</w:t>
      </w:r>
    </w:p>
    <w:p>
      <w:pPr>
        <w:spacing w:beforeLines="50"/>
        <w:rPr>
          <w:rFonts w:ascii="黑体" w:hAnsi="黑体" w:eastAsia="黑体" w:cs="黑体"/>
          <w:spacing w:val="5"/>
          <w:lang w:eastAsia="zh-CN"/>
        </w:rPr>
      </w:pPr>
      <w:r>
        <w:rPr>
          <w:rFonts w:ascii="黑体" w:hAnsi="黑体" w:eastAsia="黑体" w:cs="黑体"/>
          <w:spacing w:val="5"/>
          <w:lang w:eastAsia="zh-CN"/>
        </w:rPr>
        <w:t>3.1  依据标准</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GB/T 461.1-2002  纸和纸板毛细吸液高度的测定（克列姆法）</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GB/T 1541-20</w:t>
      </w:r>
      <w:r>
        <w:rPr>
          <w:rFonts w:hint="eastAsia" w:ascii="宋体" w:hAnsi="宋体" w:eastAsia="宋体" w:cs="宋体"/>
          <w:spacing w:val="7"/>
          <w:sz w:val="21"/>
          <w:szCs w:val="21"/>
          <w:lang w:val="en-US" w:eastAsia="zh-CN"/>
        </w:rPr>
        <w:t>13</w:t>
      </w:r>
      <w:bookmarkStart w:id="2" w:name="_GoBack"/>
      <w:bookmarkEnd w:id="2"/>
      <w:r>
        <w:rPr>
          <w:rFonts w:ascii="宋体" w:hAnsi="宋体" w:eastAsia="宋体" w:cs="宋体"/>
          <w:spacing w:val="7"/>
          <w:sz w:val="21"/>
          <w:szCs w:val="21"/>
          <w:lang w:eastAsia="zh-CN"/>
        </w:rPr>
        <w:t>纸和纸板  尘埃度的测定</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GB/T7974-2013纸、纸板和纸浆  蓝光漫反射因数 D65 亮度的测定（漫射/垂直法，室外日光条件）</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GB/T 8942-2016</w:t>
      </w:r>
      <w:r>
        <w:rPr>
          <w:rFonts w:hint="eastAsia" w:ascii="宋体" w:hAnsi="宋体" w:eastAsia="宋体" w:cs="宋体"/>
          <w:spacing w:val="7"/>
          <w:sz w:val="21"/>
          <w:szCs w:val="21"/>
          <w:lang w:eastAsia="zh-CN"/>
        </w:rPr>
        <w:t xml:space="preserve"> </w:t>
      </w:r>
      <w:r>
        <w:rPr>
          <w:rFonts w:ascii="宋体" w:hAnsi="宋体" w:eastAsia="宋体" w:cs="宋体"/>
          <w:spacing w:val="7"/>
          <w:sz w:val="21"/>
          <w:szCs w:val="21"/>
          <w:lang w:eastAsia="zh-CN"/>
        </w:rPr>
        <w:t>纸柔软度的测定</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GB/T 20810-2018  卫生纸（含卫生纸原纸）</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GB/T 24328.3-2020  卫生纸及其制品  第 3 部分：抗张强度、最大力值时伸长率和抗 张能量吸收的测定</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现行有效的企业标准、团体标准、地方标准及产品明示质量要求。</w:t>
      </w:r>
    </w:p>
    <w:p>
      <w:pPr>
        <w:spacing w:beforeLines="50"/>
        <w:rPr>
          <w:rFonts w:ascii="黑体" w:hAnsi="黑体" w:eastAsia="黑体" w:cs="黑体"/>
          <w:spacing w:val="5"/>
          <w:lang w:eastAsia="zh-CN"/>
        </w:rPr>
      </w:pPr>
      <w:r>
        <w:rPr>
          <w:rFonts w:ascii="黑体" w:hAnsi="黑体" w:eastAsia="黑体" w:cs="黑体"/>
          <w:spacing w:val="5"/>
          <w:lang w:eastAsia="zh-CN"/>
        </w:rPr>
        <w:t>3.2  判定原则</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经检验，检验项目全部合格，判定为被抽查产品所检项目未发现不合格；检验项 目中任一项或一项以上不合格，判定为被抽查产品不合格。</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若被检产品明示的质量要求高于本细则中检验项目依据的标准要求时，应按被检产品明示的质量要求判定。</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若被检产品明示的质量要求低于本细则中检验项目依据的强制性标准要求时，应按照强制性标准要求判定。</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若被检产品明示的质量要求低于或包含本细则中检验项目依据的推荐性标准要求时，应以被检产品明示的质量要求判定，但应在检验报告备注中进行说明。</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若被检产品明示的质量要求缺少本细则中检验项目依据的强制性标准要求时，应按照强制性标准要求判定。</w:t>
      </w:r>
    </w:p>
    <w:p>
      <w:pPr>
        <w:pStyle w:val="2"/>
        <w:spacing w:beforeLines="50"/>
        <w:ind w:firstLine="448" w:firstLineChars="200"/>
        <w:rPr>
          <w:rFonts w:ascii="宋体" w:hAnsi="宋体" w:eastAsia="宋体" w:cs="宋体"/>
          <w:spacing w:val="7"/>
          <w:sz w:val="21"/>
          <w:szCs w:val="21"/>
          <w:lang w:eastAsia="zh-CN"/>
        </w:rPr>
      </w:pPr>
      <w:r>
        <w:rPr>
          <w:rFonts w:ascii="宋体" w:hAnsi="宋体" w:eastAsia="宋体" w:cs="宋体"/>
          <w:spacing w:val="7"/>
          <w:sz w:val="21"/>
          <w:szCs w:val="21"/>
          <w:lang w:eastAsia="zh-CN"/>
        </w:rPr>
        <w:t>若被检产品明示的质量要求缺少本细则中检验项目依据的推荐性标准要求时，该项目不参与判定，但应在检验报告备注中进行说明。</w:t>
      </w:r>
    </w:p>
    <w:sectPr>
      <w:headerReference r:id="rId3" w:type="default"/>
      <w:footerReference r:id="rId4" w:type="default"/>
      <w:pgSz w:w="11906" w:h="16839"/>
      <w:pgMar w:top="1431" w:right="1785" w:bottom="0" w:left="1785" w:header="850" w:footer="964"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A00002BF" w:usb1="38CF7CFA" w:usb2="00082016" w:usb3="00000000" w:csb0="00040001" w:csb1="00000000"/>
  </w:font>
  <w:font w:name="方正小标宋简体">
    <w:panose1 w:val="02000000000000000000"/>
    <w:charset w:val="86"/>
    <w:family w:val="script"/>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left" w:pos="4200"/>
        <w:tab w:val="clear" w:pos="8306"/>
      </w:tabs>
      <w:rPr>
        <w:lang w:val="zh-CN"/>
      </w:rPr>
    </w:pPr>
  </w:p>
  <w:p>
    <w:pPr>
      <w:pStyle w:val="3"/>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1</w:t>
    </w:r>
    <w:r>
      <w:rPr>
        <w:lang w:val="zh-CN"/>
      </w:rPr>
      <w:fldChar w:fldCharType="end"/>
    </w:r>
    <w:r>
      <w:rPr>
        <w:rFonts w:hint="eastAsia"/>
        <w:lang w:val="zh-CN"/>
      </w:rPr>
      <w:t>页 共2页</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hint="default"/>
        <w:lang w:val="en-US" w:eastAsia="zh-CN"/>
      </w:rPr>
    </w:pPr>
    <w:bookmarkStart w:id="0" w:name="OLE_LINK26"/>
    <w:bookmarkStart w:id="1" w:name="OLE_LINK27"/>
    <w:r>
      <w:rPr>
        <w:rFonts w:ascii="Times New Roman" w:hAnsi="Times New Roman" w:eastAsia="华文中宋" w:cs="Times New Roman"/>
        <w:b/>
        <w:sz w:val="24"/>
        <w:szCs w:val="24"/>
      </w:rPr>
      <w:t>DZSJDCC202</w:t>
    </w:r>
    <w:r>
      <w:rPr>
        <w:rFonts w:hint="eastAsia" w:ascii="Times New Roman" w:hAnsi="Times New Roman" w:eastAsia="华文中宋" w:cs="Times New Roman"/>
        <w:b/>
        <w:sz w:val="24"/>
        <w:szCs w:val="24"/>
        <w:lang w:val="en-US" w:eastAsia="zh-CN"/>
      </w:rPr>
      <w:t>6</w:t>
    </w:r>
    <w:r>
      <w:rPr>
        <w:rFonts w:hint="eastAsia" w:ascii="Times New Roman" w:hAnsi="Times New Roman" w:eastAsia="华文中宋" w:cs="Times New Roman"/>
        <w:b/>
        <w:sz w:val="24"/>
        <w:szCs w:val="24"/>
      </w:rPr>
      <w:t>年</w:t>
    </w:r>
    <w:r>
      <w:rPr>
        <w:rFonts w:ascii="Times New Roman" w:hAnsi="Times New Roman" w:eastAsia="华文中宋" w:cs="Times New Roman"/>
        <w:b/>
        <w:sz w:val="24"/>
        <w:szCs w:val="24"/>
      </w:rPr>
      <w:t>0</w:t>
    </w:r>
    <w:bookmarkEnd w:id="0"/>
    <w:bookmarkEnd w:id="1"/>
    <w:r>
      <w:rPr>
        <w:rFonts w:hint="eastAsia" w:ascii="Times New Roman" w:hAnsi="Times New Roman" w:eastAsia="华文中宋" w:cs="Times New Roman"/>
        <w:b/>
        <w:sz w:val="24"/>
        <w:szCs w:val="24"/>
        <w:lang w:val="en-US" w:eastAsia="zh-CN"/>
      </w:rPr>
      <w:t>05</w:t>
    </w: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105"/>
  <w:displayHorizontalDrawingGridEvery w:val="2"/>
  <w:characterSpacingControl w:val="doNotCompress"/>
  <w:compat>
    <w:spaceForUL/>
    <w:ulTrailSpace/>
    <w:useFELayout/>
    <w:compatSetting w:name="compatibilityMode" w:uri="http://schemas.microsoft.com/office/word" w:val="12"/>
  </w:compat>
  <w:rsids>
    <w:rsidRoot w:val="00FE4824"/>
    <w:rsid w:val="000D7E80"/>
    <w:rsid w:val="001453BF"/>
    <w:rsid w:val="001B0B92"/>
    <w:rsid w:val="009957C7"/>
    <w:rsid w:val="00A45AB4"/>
    <w:rsid w:val="00FE4824"/>
    <w:rsid w:val="03D53936"/>
    <w:rsid w:val="0E9115DE"/>
    <w:rsid w:val="1DD23DAF"/>
    <w:rsid w:val="29763EBB"/>
    <w:rsid w:val="32C97752"/>
    <w:rsid w:val="44D93DC8"/>
    <w:rsid w:val="5EA92062"/>
    <w:rsid w:val="61B37180"/>
    <w:rsid w:val="645059A1"/>
    <w:rsid w:val="79343296"/>
    <w:rsid w:val="FD9EF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ascii="黑体" w:hAnsi="黑体" w:eastAsia="黑体" w:cs="黑体"/>
      <w:sz w:val="20"/>
      <w:szCs w:val="20"/>
    </w:rPr>
  </w:style>
  <w:style w:type="paragraph" w:styleId="3">
    <w:name w:val="footer"/>
    <w:basedOn w:val="1"/>
    <w:link w:val="10"/>
    <w:uiPriority w:val="0"/>
    <w:pPr>
      <w:tabs>
        <w:tab w:val="center" w:pos="4153"/>
        <w:tab w:val="right" w:pos="8306"/>
      </w:tabs>
    </w:pPr>
    <w:rPr>
      <w:sz w:val="18"/>
      <w:szCs w:val="18"/>
    </w:rPr>
  </w:style>
  <w:style w:type="paragraph" w:styleId="4">
    <w:name w:val="header"/>
    <w:basedOn w:val="1"/>
    <w:link w:val="9"/>
    <w:uiPriority w:val="0"/>
    <w:pPr>
      <w:pBdr>
        <w:bottom w:val="single" w:color="auto" w:sz="6" w:space="1"/>
      </w:pBdr>
      <w:tabs>
        <w:tab w:val="center" w:pos="4153"/>
        <w:tab w:val="right" w:pos="8306"/>
      </w:tabs>
      <w:jc w:val="center"/>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0"/>
      <w:szCs w:val="20"/>
    </w:rPr>
  </w:style>
  <w:style w:type="character" w:customStyle="1" w:styleId="9">
    <w:name w:val="页眉 Char"/>
    <w:basedOn w:val="6"/>
    <w:link w:val="4"/>
    <w:uiPriority w:val="0"/>
    <w:rPr>
      <w:rFonts w:eastAsia="Arial"/>
      <w:snapToGrid w:val="0"/>
      <w:color w:val="000000"/>
      <w:sz w:val="18"/>
      <w:szCs w:val="18"/>
      <w:lang w:eastAsia="en-US"/>
    </w:rPr>
  </w:style>
  <w:style w:type="character" w:customStyle="1" w:styleId="10">
    <w:name w:val="页脚 Char"/>
    <w:basedOn w:val="6"/>
    <w:link w:val="3"/>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876</Words>
  <Characters>1032</Characters>
  <Lines>8</Lines>
  <Paragraphs>2</Paragraphs>
  <TotalTime>21</TotalTime>
  <ScaleCrop>false</ScaleCrop>
  <LinksUpToDate>false</LinksUpToDate>
  <CharactersWithSpaces>1079</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2023-01-17T19:18:00Z</dcterms:created>
  <dc:creator>Hao</dc:creator>
  <cp:lastModifiedBy>user</cp:lastModifiedBy>
  <cp:lastPrinted>2025-12-12T10:12:00Z</cp:lastPrinted>
  <dcterms:modified xsi:type="dcterms:W3CDTF">2025-12-26T11:08:31Z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2025-02-07T08:48:25Z</vt:filetime>
  </property>
  <property fmtid="{D5CDD505-2E9C-101B-9397-08002B2CF9AE}" pid="4" name="KSOTemplateDocerSaveRecord">
    <vt:lpwstr>eyJoZGlkIjoiZjFhNTYxNTFlZTljZDJiMjkwZjg5M2ZiOWQyOGZlMjUiLCJ1c2VySWQiOiI0MjMyNzE4MjAifQ==</vt:lpwstr>
  </property>
  <property fmtid="{D5CDD505-2E9C-101B-9397-08002B2CF9AE}" pid="5" name="KSOProductBuildVer">
    <vt:lpwstr>2052-11.8.2.1132</vt:lpwstr>
  </property>
  <property fmtid="{D5CDD505-2E9C-101B-9397-08002B2CF9AE}" pid="6" name="ICV">
    <vt:lpwstr>DADA9B59EC5D40B19CF077241EED5499_12</vt:lpwstr>
  </property>
</Properties>
</file>