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837AA">
      <w:pPr>
        <w:spacing w:before="163" w:line="226" w:lineRule="auto"/>
        <w:jc w:val="center"/>
        <w:outlineLvl w:val="0"/>
        <w:rPr>
          <w:rFonts w:ascii="方正小标宋简体" w:hAnsi="黑体" w:eastAsia="方正小标宋简体" w:cs="黑体"/>
          <w:sz w:val="36"/>
          <w:szCs w:val="36"/>
          <w:lang w:eastAsia="zh-CN"/>
        </w:rPr>
      </w:pPr>
      <w:r>
        <w:rPr>
          <w:rFonts w:hint="eastAsia" w:ascii="方正小标宋简体" w:hAnsi="黑体" w:eastAsia="方正小标宋简体" w:cs="黑体"/>
          <w:spacing w:val="8"/>
          <w:sz w:val="36"/>
          <w:szCs w:val="36"/>
          <w:lang w:eastAsia="zh-CN"/>
        </w:rPr>
        <w:t>达州市课业簿册产品质量市级监督抽查实施细则</w:t>
      </w:r>
    </w:p>
    <w:p w14:paraId="0C8403AD">
      <w:pPr>
        <w:spacing w:before="163" w:line="226" w:lineRule="auto"/>
        <w:jc w:val="center"/>
        <w:outlineLvl w:val="0"/>
        <w:rPr>
          <w:rFonts w:ascii="方正小标宋简体" w:hAnsi="黑体" w:eastAsia="方正小标宋简体" w:cs="黑体"/>
          <w:spacing w:val="8"/>
          <w:sz w:val="36"/>
          <w:szCs w:val="36"/>
          <w:lang w:eastAsia="zh-CN"/>
        </w:rPr>
      </w:pPr>
      <w:r>
        <w:rPr>
          <w:rFonts w:hint="eastAsia" w:ascii="方正小标宋简体" w:hAnsi="黑体" w:eastAsia="方正小标宋简体" w:cs="黑体"/>
          <w:spacing w:val="8"/>
          <w:sz w:val="36"/>
          <w:szCs w:val="36"/>
          <w:lang w:eastAsia="zh-CN"/>
        </w:rPr>
        <w:t>(</w:t>
      </w:r>
      <w:r>
        <w:rPr>
          <w:rFonts w:ascii="方正小标宋简体" w:hAnsi="黑体" w:eastAsia="方正小标宋简体" w:cs="黑体"/>
          <w:snapToGrid/>
          <w:spacing w:val="8"/>
          <w:sz w:val="36"/>
          <w:szCs w:val="36"/>
          <w:lang w:eastAsia="zh-CN"/>
        </w:rPr>
        <w:t>202</w:t>
      </w:r>
      <w:r>
        <w:rPr>
          <w:rFonts w:hint="eastAsia" w:ascii="方正小标宋简体" w:hAnsi="黑体" w:eastAsia="方正小标宋简体" w:cs="黑体"/>
          <w:snapToGrid/>
          <w:spacing w:val="8"/>
          <w:sz w:val="36"/>
          <w:szCs w:val="36"/>
          <w:lang w:val="en-US" w:eastAsia="zh-CN"/>
        </w:rPr>
        <w:t>6</w:t>
      </w:r>
      <w:r>
        <w:rPr>
          <w:rFonts w:hint="eastAsia" w:ascii="方正小标宋简体" w:hAnsi="黑体" w:eastAsia="方正小标宋简体" w:cs="黑体"/>
          <w:spacing w:val="8"/>
          <w:sz w:val="36"/>
          <w:szCs w:val="36"/>
          <w:lang w:eastAsia="zh-CN"/>
        </w:rPr>
        <w:t>版)</w:t>
      </w:r>
    </w:p>
    <w:p w14:paraId="7CB506ED">
      <w:pPr>
        <w:spacing w:beforeLines="100" w:line="228" w:lineRule="auto"/>
        <w:ind w:left="45"/>
        <w:rPr>
          <w:rFonts w:ascii="黑体" w:hAnsi="黑体" w:eastAsia="黑体" w:cs="黑体"/>
          <w:lang w:eastAsia="zh-CN"/>
        </w:rPr>
      </w:pPr>
      <w:r>
        <w:rPr>
          <w:rFonts w:ascii="黑体" w:hAnsi="黑体" w:eastAsia="黑体" w:cs="黑体"/>
          <w:spacing w:val="2"/>
          <w:lang w:eastAsia="zh-CN"/>
        </w:rPr>
        <w:t>1</w:t>
      </w:r>
      <w:r>
        <w:rPr>
          <w:rFonts w:ascii="黑体" w:hAnsi="黑体" w:eastAsia="黑体" w:cs="黑体"/>
          <w:spacing w:val="11"/>
          <w:lang w:eastAsia="zh-CN"/>
        </w:rPr>
        <w:t xml:space="preserve">  </w:t>
      </w:r>
      <w:r>
        <w:rPr>
          <w:rFonts w:ascii="黑体" w:hAnsi="黑体" w:eastAsia="黑体" w:cs="黑体"/>
          <w:spacing w:val="2"/>
          <w:lang w:eastAsia="zh-CN"/>
        </w:rPr>
        <w:t>抽样方法</w:t>
      </w:r>
    </w:p>
    <w:p w14:paraId="6582E577">
      <w:pPr>
        <w:pStyle w:val="2"/>
        <w:spacing w:beforeLines="50"/>
        <w:ind w:firstLine="448" w:firstLineChars="200"/>
        <w:rPr>
          <w:spacing w:val="14"/>
          <w:sz w:val="21"/>
          <w:szCs w:val="21"/>
          <w:lang w:eastAsia="zh-CN"/>
        </w:rPr>
      </w:pPr>
      <w:r>
        <w:rPr>
          <w:spacing w:val="7"/>
          <w:sz w:val="21"/>
          <w:szCs w:val="21"/>
          <w:lang w:eastAsia="zh-CN"/>
        </w:rPr>
        <w:t>以随机抽样的方式在被抽样生产者、销售者的待销产品中抽取。</w:t>
      </w:r>
      <w:r>
        <w:rPr>
          <w:spacing w:val="14"/>
          <w:sz w:val="21"/>
          <w:szCs w:val="21"/>
          <w:lang w:eastAsia="zh-CN"/>
        </w:rPr>
        <w:t xml:space="preserve"> </w:t>
      </w:r>
    </w:p>
    <w:p w14:paraId="73477AAB">
      <w:pPr>
        <w:pStyle w:val="2"/>
        <w:spacing w:beforeLines="50"/>
        <w:ind w:firstLine="452" w:firstLineChars="200"/>
        <w:rPr>
          <w:sz w:val="21"/>
          <w:szCs w:val="21"/>
          <w:lang w:eastAsia="zh-CN"/>
        </w:rPr>
      </w:pPr>
      <w:r>
        <w:rPr>
          <w:spacing w:val="8"/>
          <w:sz w:val="21"/>
          <w:szCs w:val="21"/>
          <w:lang w:eastAsia="zh-CN"/>
        </w:rPr>
        <w:t>随机数一般可使用随机数表、骰子或扑克牌等方法产生。</w:t>
      </w:r>
      <w:bookmarkStart w:id="0" w:name="_GoBack"/>
      <w:bookmarkEnd w:id="0"/>
    </w:p>
    <w:p w14:paraId="1ED3FB86">
      <w:pPr>
        <w:pStyle w:val="2"/>
        <w:spacing w:beforeLines="50"/>
        <w:ind w:firstLine="448" w:firstLineChars="200"/>
        <w:rPr>
          <w:spacing w:val="7"/>
          <w:sz w:val="21"/>
          <w:szCs w:val="21"/>
          <w:lang w:eastAsia="zh-CN"/>
        </w:rPr>
      </w:pPr>
      <w:r>
        <w:rPr>
          <w:spacing w:val="7"/>
          <w:sz w:val="21"/>
          <w:szCs w:val="21"/>
          <w:lang w:eastAsia="zh-CN"/>
        </w:rPr>
        <w:t>每批次产品抽取样品</w:t>
      </w:r>
      <w:r>
        <w:rPr>
          <w:rFonts w:hint="eastAsia"/>
          <w:spacing w:val="7"/>
          <w:sz w:val="21"/>
          <w:szCs w:val="21"/>
          <w:lang w:eastAsia="zh-CN"/>
        </w:rPr>
        <w:t>20</w:t>
      </w:r>
      <w:r>
        <w:rPr>
          <w:spacing w:val="7"/>
          <w:sz w:val="21"/>
          <w:szCs w:val="21"/>
          <w:lang w:eastAsia="zh-CN"/>
        </w:rPr>
        <w:t>本，其中</w:t>
      </w:r>
      <w:r>
        <w:rPr>
          <w:rFonts w:hint="eastAsia"/>
          <w:spacing w:val="7"/>
          <w:sz w:val="21"/>
          <w:szCs w:val="21"/>
          <w:lang w:eastAsia="zh-CN"/>
        </w:rPr>
        <w:t>1</w:t>
      </w:r>
      <w:r>
        <w:rPr>
          <w:spacing w:val="7"/>
          <w:sz w:val="21"/>
          <w:szCs w:val="21"/>
          <w:lang w:eastAsia="zh-CN"/>
        </w:rPr>
        <w:t>0本作为检验样品，</w:t>
      </w:r>
      <w:r>
        <w:rPr>
          <w:rFonts w:hint="eastAsia"/>
          <w:spacing w:val="7"/>
          <w:sz w:val="21"/>
          <w:szCs w:val="21"/>
          <w:lang w:eastAsia="zh-CN"/>
        </w:rPr>
        <w:t>1</w:t>
      </w:r>
      <w:r>
        <w:rPr>
          <w:spacing w:val="7"/>
          <w:sz w:val="21"/>
          <w:szCs w:val="21"/>
          <w:lang w:eastAsia="zh-CN"/>
        </w:rPr>
        <w:t>0本作为备用样品。</w:t>
      </w:r>
    </w:p>
    <w:p w14:paraId="6E2966F0">
      <w:pPr>
        <w:pStyle w:val="2"/>
        <w:spacing w:beforeLines="50"/>
        <w:ind w:firstLine="448" w:firstLineChars="200"/>
        <w:rPr>
          <w:spacing w:val="7"/>
          <w:sz w:val="21"/>
          <w:szCs w:val="21"/>
          <w:lang w:eastAsia="zh-CN"/>
        </w:rPr>
      </w:pPr>
      <w:r>
        <w:rPr>
          <w:rFonts w:hint="eastAsia"/>
          <w:spacing w:val="7"/>
          <w:sz w:val="21"/>
          <w:szCs w:val="21"/>
          <w:lang w:eastAsia="zh-CN"/>
        </w:rPr>
        <w:t>抽查样品基数满足抽样数量即可，</w:t>
      </w:r>
      <w:r>
        <w:rPr>
          <w:spacing w:val="7"/>
          <w:sz w:val="21"/>
          <w:szCs w:val="21"/>
          <w:lang w:eastAsia="zh-CN"/>
        </w:rPr>
        <w:t>备用样品封存于受检企业。</w:t>
      </w:r>
    </w:p>
    <w:p w14:paraId="262B27C2">
      <w:pPr>
        <w:spacing w:line="290" w:lineRule="auto"/>
        <w:rPr>
          <w:lang w:eastAsia="zh-CN"/>
        </w:rPr>
      </w:pPr>
    </w:p>
    <w:p w14:paraId="68A06947">
      <w:pPr>
        <w:spacing w:before="66" w:line="230" w:lineRule="auto"/>
        <w:ind w:left="33"/>
        <w:rPr>
          <w:rFonts w:ascii="黑体" w:hAnsi="黑体" w:eastAsia="黑体" w:cs="黑体"/>
          <w:lang w:eastAsia="zh-CN"/>
        </w:rPr>
      </w:pPr>
      <w:r>
        <w:rPr>
          <w:rFonts w:ascii="黑体" w:hAnsi="黑体" w:eastAsia="黑体" w:cs="黑体"/>
          <w:spacing w:val="6"/>
          <w:lang w:eastAsia="zh-CN"/>
        </w:rPr>
        <w:t>2  检验依据</w:t>
      </w:r>
    </w:p>
    <w:p w14:paraId="55D60701">
      <w:pPr>
        <w:spacing w:before="65" w:line="229" w:lineRule="auto"/>
        <w:ind w:left="3062"/>
        <w:rPr>
          <w:rFonts w:ascii="黑体" w:hAnsi="黑体" w:eastAsia="黑体" w:cs="黑体"/>
          <w:lang w:eastAsia="zh-CN"/>
        </w:rPr>
      </w:pPr>
      <w:r>
        <w:rPr>
          <w:rFonts w:ascii="黑体" w:hAnsi="黑体" w:eastAsia="黑体" w:cs="黑体"/>
          <w:spacing w:val="5"/>
          <w:lang w:eastAsia="zh-CN"/>
        </w:rPr>
        <w:t>表</w:t>
      </w:r>
      <w:r>
        <w:rPr>
          <w:rFonts w:ascii="黑体" w:hAnsi="黑体" w:eastAsia="黑体" w:cs="黑体"/>
          <w:spacing w:val="-19"/>
          <w:lang w:eastAsia="zh-CN"/>
        </w:rPr>
        <w:t xml:space="preserve"> </w:t>
      </w:r>
      <w:r>
        <w:rPr>
          <w:rFonts w:ascii="黑体" w:hAnsi="黑体" w:eastAsia="黑体" w:cs="黑体"/>
          <w:spacing w:val="5"/>
          <w:lang w:eastAsia="zh-CN"/>
        </w:rPr>
        <w:t>1  课业簿册检验项目</w:t>
      </w:r>
    </w:p>
    <w:p w14:paraId="5CF7ABEE">
      <w:pPr>
        <w:spacing w:line="148" w:lineRule="exact"/>
        <w:rPr>
          <w:lang w:eastAsia="zh-CN"/>
        </w:rPr>
      </w:pPr>
    </w:p>
    <w:tbl>
      <w:tblPr>
        <w:tblStyle w:val="8"/>
        <w:tblW w:w="864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23"/>
        <w:gridCol w:w="3294"/>
        <w:gridCol w:w="4431"/>
      </w:tblGrid>
      <w:tr w14:paraId="3D1936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7" w:hRule="atLeast"/>
          <w:tblHeader/>
        </w:trPr>
        <w:tc>
          <w:tcPr>
            <w:tcW w:w="923" w:type="dxa"/>
            <w:vAlign w:val="center"/>
          </w:tcPr>
          <w:p w14:paraId="5AB3DBBB">
            <w:pPr>
              <w:spacing w:line="231" w:lineRule="auto"/>
              <w:jc w:val="center"/>
              <w:rPr>
                <w:rFonts w:cs="黑体" w:asciiTheme="minorEastAsia" w:hAnsiTheme="minorEastAsia" w:eastAsiaTheme="minorEastAsia"/>
              </w:rPr>
            </w:pPr>
            <w:r>
              <w:rPr>
                <w:rFonts w:cs="黑体" w:asciiTheme="minorEastAsia" w:hAnsiTheme="minorEastAsia" w:eastAsiaTheme="minorEastAsia"/>
                <w:spacing w:val="4"/>
              </w:rPr>
              <w:t>序号</w:t>
            </w:r>
          </w:p>
        </w:tc>
        <w:tc>
          <w:tcPr>
            <w:tcW w:w="3294" w:type="dxa"/>
            <w:vAlign w:val="center"/>
          </w:tcPr>
          <w:p w14:paraId="7A4D90FD">
            <w:pPr>
              <w:spacing w:line="230" w:lineRule="auto"/>
              <w:jc w:val="center"/>
              <w:rPr>
                <w:rFonts w:cs="黑体" w:asciiTheme="minorEastAsia" w:hAnsiTheme="minorEastAsia" w:eastAsiaTheme="minorEastAsia"/>
              </w:rPr>
            </w:pPr>
            <w:r>
              <w:rPr>
                <w:rFonts w:cs="黑体" w:asciiTheme="minorEastAsia" w:hAnsiTheme="minorEastAsia" w:eastAsiaTheme="minorEastAsia"/>
                <w:spacing w:val="8"/>
              </w:rPr>
              <w:t>检验项目</w:t>
            </w:r>
          </w:p>
        </w:tc>
        <w:tc>
          <w:tcPr>
            <w:tcW w:w="4431" w:type="dxa"/>
            <w:vAlign w:val="center"/>
          </w:tcPr>
          <w:p w14:paraId="005BA62E">
            <w:pPr>
              <w:spacing w:line="229" w:lineRule="auto"/>
              <w:jc w:val="center"/>
              <w:rPr>
                <w:rFonts w:cs="黑体" w:asciiTheme="minorEastAsia" w:hAnsiTheme="minorEastAsia" w:eastAsiaTheme="minorEastAsia"/>
              </w:rPr>
            </w:pPr>
            <w:r>
              <w:rPr>
                <w:rFonts w:cs="黑体" w:asciiTheme="minorEastAsia" w:hAnsiTheme="minorEastAsia" w:eastAsiaTheme="minorEastAsia"/>
                <w:spacing w:val="8"/>
              </w:rPr>
              <w:t>检验方法</w:t>
            </w:r>
          </w:p>
        </w:tc>
      </w:tr>
      <w:tr w14:paraId="7A97CF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5E457DA3">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1</w:t>
            </w:r>
          </w:p>
        </w:tc>
        <w:tc>
          <w:tcPr>
            <w:tcW w:w="3294" w:type="dxa"/>
            <w:vAlign w:val="center"/>
          </w:tcPr>
          <w:p w14:paraId="6D2B1011">
            <w:pPr>
              <w:pStyle w:val="9"/>
              <w:spacing w:line="229" w:lineRule="auto"/>
              <w:jc w:val="center"/>
              <w:rPr>
                <w:rFonts w:asciiTheme="minorEastAsia" w:hAnsiTheme="minorEastAsia" w:eastAsiaTheme="minorEastAsia"/>
                <w:sz w:val="21"/>
                <w:szCs w:val="21"/>
              </w:rPr>
            </w:pPr>
            <w:r>
              <w:rPr>
                <w:rFonts w:hint="eastAsia" w:asciiTheme="minorEastAsia" w:hAnsiTheme="minorEastAsia" w:eastAsiaTheme="minorEastAsia"/>
                <w:spacing w:val="7"/>
                <w:sz w:val="21"/>
                <w:szCs w:val="21"/>
                <w:lang w:eastAsia="zh-CN"/>
              </w:rPr>
              <w:t>内芯</w:t>
            </w:r>
            <w:r>
              <w:rPr>
                <w:rFonts w:asciiTheme="minorEastAsia" w:hAnsiTheme="minorEastAsia" w:eastAsiaTheme="minorEastAsia"/>
                <w:spacing w:val="7"/>
                <w:sz w:val="21"/>
                <w:szCs w:val="21"/>
              </w:rPr>
              <w:t>定量</w:t>
            </w:r>
          </w:p>
        </w:tc>
        <w:tc>
          <w:tcPr>
            <w:tcW w:w="4431" w:type="dxa"/>
            <w:vAlign w:val="center"/>
          </w:tcPr>
          <w:p w14:paraId="7C23747D">
            <w:pPr>
              <w:pStyle w:val="9"/>
              <w:jc w:val="center"/>
              <w:rPr>
                <w:rFonts w:asciiTheme="minorEastAsia" w:hAnsiTheme="minorEastAsia" w:eastAsiaTheme="minorEastAsia"/>
                <w:spacing w:val="5"/>
                <w:sz w:val="21"/>
                <w:szCs w:val="21"/>
              </w:rPr>
            </w:pPr>
            <w:r>
              <w:rPr>
                <w:rFonts w:asciiTheme="minorEastAsia" w:hAnsiTheme="minorEastAsia" w:eastAsiaTheme="minorEastAsia"/>
                <w:sz w:val="21"/>
                <w:szCs w:val="21"/>
              </w:rPr>
              <w:t>GB</w:t>
            </w:r>
            <w:r>
              <w:rPr>
                <w:rFonts w:asciiTheme="minorEastAsia" w:hAnsiTheme="minorEastAsia" w:eastAsiaTheme="minorEastAsia"/>
                <w:spacing w:val="5"/>
                <w:sz w:val="21"/>
                <w:szCs w:val="21"/>
              </w:rPr>
              <w:t>/T 451.2-2002</w:t>
            </w:r>
          </w:p>
          <w:p w14:paraId="44C9A9D3">
            <w:pPr>
              <w:pStyle w:val="9"/>
              <w:jc w:val="center"/>
              <w:rPr>
                <w:rFonts w:asciiTheme="minorEastAsia" w:hAnsiTheme="minorEastAsia" w:eastAsiaTheme="minorEastAsia"/>
                <w:spacing w:val="5"/>
                <w:sz w:val="21"/>
                <w:szCs w:val="21"/>
                <w:lang w:eastAsia="zh-CN"/>
              </w:rPr>
            </w:pPr>
            <w:r>
              <w:rPr>
                <w:rFonts w:asciiTheme="minorEastAsia" w:hAnsiTheme="minorEastAsia" w:eastAsiaTheme="minorEastAsia"/>
                <w:sz w:val="21"/>
                <w:szCs w:val="21"/>
              </w:rPr>
              <w:t>GB</w:t>
            </w:r>
            <w:r>
              <w:rPr>
                <w:rFonts w:asciiTheme="minorEastAsia" w:hAnsiTheme="minorEastAsia" w:eastAsiaTheme="minorEastAsia"/>
                <w:spacing w:val="5"/>
                <w:sz w:val="21"/>
                <w:szCs w:val="21"/>
              </w:rPr>
              <w:t>/T 451.2-20</w:t>
            </w:r>
            <w:r>
              <w:rPr>
                <w:rFonts w:hint="eastAsia" w:asciiTheme="minorEastAsia" w:hAnsiTheme="minorEastAsia" w:eastAsiaTheme="minorEastAsia"/>
                <w:spacing w:val="5"/>
                <w:sz w:val="21"/>
                <w:szCs w:val="21"/>
                <w:lang w:eastAsia="zh-CN"/>
              </w:rPr>
              <w:t>23</w:t>
            </w:r>
          </w:p>
        </w:tc>
      </w:tr>
      <w:tr w14:paraId="17326A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51D7C90E">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2</w:t>
            </w:r>
          </w:p>
        </w:tc>
        <w:tc>
          <w:tcPr>
            <w:tcW w:w="3294" w:type="dxa"/>
            <w:vAlign w:val="center"/>
          </w:tcPr>
          <w:p w14:paraId="75B0D307">
            <w:pPr>
              <w:pStyle w:val="9"/>
              <w:spacing w:line="231" w:lineRule="auto"/>
              <w:jc w:val="center"/>
              <w:rPr>
                <w:rFonts w:asciiTheme="minorEastAsia" w:hAnsiTheme="minorEastAsia" w:eastAsiaTheme="minorEastAsia"/>
                <w:sz w:val="21"/>
                <w:szCs w:val="21"/>
              </w:rPr>
            </w:pPr>
            <w:r>
              <w:rPr>
                <w:rFonts w:asciiTheme="minorEastAsia" w:hAnsiTheme="minorEastAsia" w:eastAsiaTheme="minorEastAsia"/>
                <w:spacing w:val="5"/>
                <w:sz w:val="21"/>
                <w:szCs w:val="21"/>
              </w:rPr>
              <w:t>破页</w:t>
            </w:r>
          </w:p>
        </w:tc>
        <w:tc>
          <w:tcPr>
            <w:tcW w:w="4431" w:type="dxa"/>
            <w:vAlign w:val="center"/>
          </w:tcPr>
          <w:p w14:paraId="3D521BC9">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1D78FA12">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3C99BC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6A5A5D57">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3294" w:type="dxa"/>
            <w:vAlign w:val="center"/>
          </w:tcPr>
          <w:p w14:paraId="4394C308">
            <w:pPr>
              <w:pStyle w:val="9"/>
              <w:spacing w:line="229" w:lineRule="auto"/>
              <w:jc w:val="center"/>
              <w:rPr>
                <w:rFonts w:asciiTheme="minorEastAsia" w:hAnsiTheme="minorEastAsia" w:eastAsiaTheme="minorEastAsia"/>
                <w:sz w:val="21"/>
                <w:szCs w:val="21"/>
              </w:rPr>
            </w:pPr>
            <w:r>
              <w:rPr>
                <w:rFonts w:asciiTheme="minorEastAsia" w:hAnsiTheme="minorEastAsia" w:eastAsiaTheme="minorEastAsia"/>
                <w:spacing w:val="5"/>
                <w:sz w:val="21"/>
                <w:szCs w:val="21"/>
              </w:rPr>
              <w:t>脏迹</w:t>
            </w:r>
          </w:p>
        </w:tc>
        <w:tc>
          <w:tcPr>
            <w:tcW w:w="4431" w:type="dxa"/>
            <w:vAlign w:val="center"/>
          </w:tcPr>
          <w:p w14:paraId="46EDA1BE">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2E280A6E">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0D6784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0FFC33FD">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3294" w:type="dxa"/>
            <w:vAlign w:val="center"/>
          </w:tcPr>
          <w:p w14:paraId="170FA7C7">
            <w:pPr>
              <w:pStyle w:val="9"/>
              <w:spacing w:line="231" w:lineRule="auto"/>
              <w:jc w:val="center"/>
              <w:rPr>
                <w:rFonts w:asciiTheme="minorEastAsia" w:hAnsiTheme="minorEastAsia" w:eastAsiaTheme="minorEastAsia"/>
                <w:sz w:val="21"/>
                <w:szCs w:val="21"/>
              </w:rPr>
            </w:pPr>
            <w:r>
              <w:rPr>
                <w:rFonts w:asciiTheme="minorEastAsia" w:hAnsiTheme="minorEastAsia" w:eastAsiaTheme="minorEastAsia"/>
                <w:spacing w:val="-11"/>
                <w:sz w:val="21"/>
                <w:szCs w:val="21"/>
              </w:rPr>
              <w:t>白页</w:t>
            </w:r>
          </w:p>
        </w:tc>
        <w:tc>
          <w:tcPr>
            <w:tcW w:w="4431" w:type="dxa"/>
            <w:vAlign w:val="center"/>
          </w:tcPr>
          <w:p w14:paraId="6931D426">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04CF12B2">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7FD58F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7BEAA6D4">
            <w:pPr>
              <w:pStyle w:val="9"/>
              <w:spacing w:line="187"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5</w:t>
            </w:r>
          </w:p>
        </w:tc>
        <w:tc>
          <w:tcPr>
            <w:tcW w:w="3294" w:type="dxa"/>
            <w:vAlign w:val="center"/>
          </w:tcPr>
          <w:p w14:paraId="57020DF0">
            <w:pPr>
              <w:pStyle w:val="9"/>
              <w:spacing w:line="228" w:lineRule="auto"/>
              <w:jc w:val="center"/>
              <w:rPr>
                <w:rFonts w:hint="eastAsia" w:asciiTheme="minorEastAsia" w:hAnsiTheme="minorEastAsia" w:eastAsiaTheme="minorEastAsia"/>
                <w:sz w:val="21"/>
                <w:szCs w:val="21"/>
                <w:lang w:eastAsia="zh-CN"/>
              </w:rPr>
            </w:pPr>
            <w:r>
              <w:rPr>
                <w:rFonts w:asciiTheme="minorEastAsia" w:hAnsiTheme="minorEastAsia" w:eastAsiaTheme="minorEastAsia"/>
                <w:spacing w:val="1"/>
                <w:sz w:val="21"/>
                <w:szCs w:val="21"/>
              </w:rPr>
              <w:t>印划线</w:t>
            </w:r>
            <w:r>
              <w:rPr>
                <w:rFonts w:hint="eastAsia" w:asciiTheme="minorEastAsia" w:hAnsiTheme="minorEastAsia" w:eastAsiaTheme="minorEastAsia"/>
                <w:spacing w:val="1"/>
                <w:sz w:val="21"/>
                <w:szCs w:val="21"/>
                <w:lang w:eastAsia="zh-CN"/>
              </w:rPr>
              <w:t>两面对线偏差</w:t>
            </w:r>
          </w:p>
        </w:tc>
        <w:tc>
          <w:tcPr>
            <w:tcW w:w="4431" w:type="dxa"/>
            <w:vAlign w:val="center"/>
          </w:tcPr>
          <w:p w14:paraId="13B72048">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448E8574">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0C6C63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508DADF6">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6</w:t>
            </w:r>
          </w:p>
        </w:tc>
        <w:tc>
          <w:tcPr>
            <w:tcW w:w="3294" w:type="dxa"/>
            <w:vAlign w:val="center"/>
          </w:tcPr>
          <w:p w14:paraId="2391402C">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pacing w:val="2"/>
                <w:sz w:val="21"/>
                <w:szCs w:val="21"/>
              </w:rPr>
              <w:t>张数</w:t>
            </w:r>
          </w:p>
        </w:tc>
        <w:tc>
          <w:tcPr>
            <w:tcW w:w="4431" w:type="dxa"/>
            <w:vAlign w:val="center"/>
          </w:tcPr>
          <w:p w14:paraId="1E50481B">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675C9807">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42192B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55AE8DBE">
            <w:pPr>
              <w:pStyle w:val="9"/>
              <w:spacing w:line="187"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7</w:t>
            </w:r>
          </w:p>
        </w:tc>
        <w:tc>
          <w:tcPr>
            <w:tcW w:w="3294" w:type="dxa"/>
            <w:vAlign w:val="center"/>
          </w:tcPr>
          <w:p w14:paraId="33888118">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断线</w:t>
            </w:r>
          </w:p>
        </w:tc>
        <w:tc>
          <w:tcPr>
            <w:tcW w:w="4431" w:type="dxa"/>
            <w:vAlign w:val="center"/>
          </w:tcPr>
          <w:p w14:paraId="5CB4ED22">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45A54001">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6AD1FD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72029FD6">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8</w:t>
            </w:r>
          </w:p>
        </w:tc>
        <w:tc>
          <w:tcPr>
            <w:tcW w:w="3294" w:type="dxa"/>
            <w:vAlign w:val="center"/>
          </w:tcPr>
          <w:p w14:paraId="1C262804">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pacing w:val="4"/>
                <w:sz w:val="21"/>
                <w:szCs w:val="21"/>
              </w:rPr>
              <w:t>偏斜</w:t>
            </w:r>
          </w:p>
        </w:tc>
        <w:tc>
          <w:tcPr>
            <w:tcW w:w="4431" w:type="dxa"/>
            <w:vAlign w:val="center"/>
          </w:tcPr>
          <w:p w14:paraId="0561D5FF">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3FF5A8E1">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74E136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4BCDE215">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z w:val="21"/>
                <w:szCs w:val="21"/>
              </w:rPr>
              <w:t>9</w:t>
            </w:r>
          </w:p>
        </w:tc>
        <w:tc>
          <w:tcPr>
            <w:tcW w:w="3294" w:type="dxa"/>
            <w:vAlign w:val="center"/>
          </w:tcPr>
          <w:p w14:paraId="48E23EB3">
            <w:pPr>
              <w:pStyle w:val="9"/>
              <w:spacing w:line="230" w:lineRule="auto"/>
              <w:jc w:val="center"/>
              <w:rPr>
                <w:rFonts w:hint="eastAsia" w:asciiTheme="minorEastAsia" w:hAnsiTheme="minorEastAsia" w:eastAsiaTheme="minorEastAsia"/>
                <w:sz w:val="21"/>
                <w:szCs w:val="21"/>
                <w:lang w:eastAsia="zh-CN"/>
              </w:rPr>
            </w:pPr>
            <w:r>
              <w:rPr>
                <w:rFonts w:asciiTheme="minorEastAsia" w:hAnsiTheme="minorEastAsia" w:eastAsiaTheme="minorEastAsia"/>
                <w:spacing w:val="6"/>
                <w:sz w:val="21"/>
                <w:szCs w:val="21"/>
              </w:rPr>
              <w:t>封面</w:t>
            </w:r>
            <w:r>
              <w:rPr>
                <w:rFonts w:hint="eastAsia" w:asciiTheme="minorEastAsia" w:hAnsiTheme="minorEastAsia" w:eastAsiaTheme="minorEastAsia"/>
                <w:spacing w:val="6"/>
                <w:sz w:val="21"/>
                <w:szCs w:val="21"/>
                <w:lang w:eastAsia="zh-CN"/>
              </w:rPr>
              <w:t>、</w:t>
            </w:r>
            <w:r>
              <w:rPr>
                <w:rFonts w:asciiTheme="minorEastAsia" w:hAnsiTheme="minorEastAsia" w:eastAsiaTheme="minorEastAsia"/>
                <w:spacing w:val="6"/>
                <w:sz w:val="21"/>
                <w:szCs w:val="21"/>
              </w:rPr>
              <w:t>封底</w:t>
            </w:r>
            <w:r>
              <w:rPr>
                <w:rFonts w:hint="eastAsia" w:asciiTheme="minorEastAsia" w:hAnsiTheme="minorEastAsia" w:eastAsiaTheme="minorEastAsia"/>
                <w:spacing w:val="6"/>
                <w:sz w:val="21"/>
                <w:szCs w:val="21"/>
                <w:lang w:eastAsia="zh-CN"/>
              </w:rPr>
              <w:t>定量</w:t>
            </w:r>
          </w:p>
        </w:tc>
        <w:tc>
          <w:tcPr>
            <w:tcW w:w="4431" w:type="dxa"/>
            <w:vAlign w:val="center"/>
          </w:tcPr>
          <w:p w14:paraId="6972CCCE">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1DC4C763">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036CDA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48C339A9">
            <w:pPr>
              <w:pStyle w:val="9"/>
              <w:spacing w:line="190" w:lineRule="auto"/>
              <w:jc w:val="center"/>
              <w:rPr>
                <w:rFonts w:asciiTheme="minorEastAsia" w:hAnsiTheme="minorEastAsia" w:eastAsiaTheme="minorEastAsia"/>
                <w:sz w:val="21"/>
                <w:szCs w:val="21"/>
              </w:rPr>
            </w:pPr>
            <w:r>
              <w:rPr>
                <w:rFonts w:asciiTheme="minorEastAsia" w:hAnsiTheme="minorEastAsia" w:eastAsiaTheme="minorEastAsia"/>
                <w:spacing w:val="-8"/>
                <w:sz w:val="21"/>
                <w:szCs w:val="21"/>
              </w:rPr>
              <w:t>10</w:t>
            </w:r>
          </w:p>
        </w:tc>
        <w:tc>
          <w:tcPr>
            <w:tcW w:w="3294" w:type="dxa"/>
            <w:vAlign w:val="center"/>
          </w:tcPr>
          <w:p w14:paraId="73675EE0">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pacing w:val="7"/>
                <w:sz w:val="21"/>
                <w:szCs w:val="21"/>
              </w:rPr>
              <w:t>套印偏差</w:t>
            </w:r>
          </w:p>
        </w:tc>
        <w:tc>
          <w:tcPr>
            <w:tcW w:w="4431" w:type="dxa"/>
            <w:vAlign w:val="center"/>
          </w:tcPr>
          <w:p w14:paraId="3C750803">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243D8E8A">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w:t>
            </w:r>
            <w:r>
              <w:rPr>
                <w:rFonts w:hint="eastAsia" w:asciiTheme="minorEastAsia" w:hAnsiTheme="minorEastAsia" w:eastAsiaTheme="minorEastAsia"/>
                <w:sz w:val="21"/>
                <w:szCs w:val="21"/>
                <w:lang w:eastAsia="zh-CN"/>
              </w:rPr>
              <w:t>23</w:t>
            </w:r>
          </w:p>
        </w:tc>
      </w:tr>
      <w:tr w14:paraId="4E3393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0ED3B345">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pacing w:val="-8"/>
                <w:sz w:val="21"/>
                <w:szCs w:val="21"/>
              </w:rPr>
              <w:t>11</w:t>
            </w:r>
          </w:p>
        </w:tc>
        <w:tc>
          <w:tcPr>
            <w:tcW w:w="3294" w:type="dxa"/>
            <w:vAlign w:val="center"/>
          </w:tcPr>
          <w:p w14:paraId="2905D225">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pacing w:val="5"/>
                <w:sz w:val="21"/>
                <w:szCs w:val="21"/>
              </w:rPr>
              <w:t>内芯纸张施胶度</w:t>
            </w:r>
          </w:p>
        </w:tc>
        <w:tc>
          <w:tcPr>
            <w:tcW w:w="4431" w:type="dxa"/>
            <w:vAlign w:val="center"/>
          </w:tcPr>
          <w:p w14:paraId="19A79883">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GB/T 460-2008</w:t>
            </w:r>
          </w:p>
        </w:tc>
      </w:tr>
      <w:tr w14:paraId="4B0DED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923" w:type="dxa"/>
            <w:vAlign w:val="center"/>
          </w:tcPr>
          <w:p w14:paraId="2663146F">
            <w:pPr>
              <w:pStyle w:val="9"/>
              <w:spacing w:line="189" w:lineRule="auto"/>
              <w:jc w:val="center"/>
              <w:rPr>
                <w:rFonts w:asciiTheme="minorEastAsia" w:hAnsiTheme="minorEastAsia" w:eastAsiaTheme="minorEastAsia"/>
                <w:sz w:val="21"/>
                <w:szCs w:val="21"/>
              </w:rPr>
            </w:pPr>
            <w:r>
              <w:rPr>
                <w:rFonts w:asciiTheme="minorEastAsia" w:hAnsiTheme="minorEastAsia" w:eastAsiaTheme="minorEastAsia"/>
                <w:spacing w:val="-8"/>
                <w:sz w:val="21"/>
                <w:szCs w:val="21"/>
              </w:rPr>
              <w:t>12</w:t>
            </w:r>
          </w:p>
        </w:tc>
        <w:tc>
          <w:tcPr>
            <w:tcW w:w="3294" w:type="dxa"/>
            <w:vAlign w:val="center"/>
          </w:tcPr>
          <w:p w14:paraId="126CD282">
            <w:pPr>
              <w:pStyle w:val="9"/>
              <w:spacing w:line="228" w:lineRule="auto"/>
              <w:jc w:val="center"/>
              <w:rPr>
                <w:rFonts w:asciiTheme="minorEastAsia" w:hAnsiTheme="minorEastAsia" w:eastAsiaTheme="minorEastAsia"/>
                <w:sz w:val="21"/>
                <w:szCs w:val="21"/>
              </w:rPr>
            </w:pPr>
            <w:r>
              <w:rPr>
                <w:rFonts w:asciiTheme="minorEastAsia" w:hAnsiTheme="minorEastAsia" w:eastAsiaTheme="minorEastAsia"/>
                <w:spacing w:val="7"/>
                <w:sz w:val="21"/>
                <w:szCs w:val="21"/>
              </w:rPr>
              <w:t>成品尺寸偏差</w:t>
            </w:r>
          </w:p>
        </w:tc>
        <w:tc>
          <w:tcPr>
            <w:tcW w:w="4431" w:type="dxa"/>
            <w:vAlign w:val="center"/>
          </w:tcPr>
          <w:p w14:paraId="0CD9C446">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31C32DCD">
            <w:pPr>
              <w:pStyle w:val="9"/>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QB/T 1437-2023</w:t>
            </w:r>
          </w:p>
        </w:tc>
      </w:tr>
      <w:tr w14:paraId="6074D5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5" w:hRule="atLeast"/>
        </w:trPr>
        <w:tc>
          <w:tcPr>
            <w:tcW w:w="923" w:type="dxa"/>
            <w:vAlign w:val="center"/>
          </w:tcPr>
          <w:p w14:paraId="15CDE646">
            <w:pPr>
              <w:pStyle w:val="9"/>
              <w:spacing w:line="190" w:lineRule="auto"/>
              <w:jc w:val="center"/>
              <w:rPr>
                <w:rFonts w:asciiTheme="minorEastAsia" w:hAnsiTheme="minorEastAsia" w:eastAsiaTheme="minorEastAsia"/>
                <w:sz w:val="21"/>
                <w:szCs w:val="21"/>
                <w:lang w:eastAsia="zh-CN"/>
              </w:rPr>
            </w:pPr>
            <w:r>
              <w:rPr>
                <w:rFonts w:asciiTheme="minorEastAsia" w:hAnsiTheme="minorEastAsia" w:eastAsiaTheme="minorEastAsia"/>
                <w:spacing w:val="-8"/>
                <w:sz w:val="21"/>
                <w:szCs w:val="21"/>
              </w:rPr>
              <w:t>1</w:t>
            </w:r>
            <w:r>
              <w:rPr>
                <w:rFonts w:hint="eastAsia" w:asciiTheme="minorEastAsia" w:hAnsiTheme="minorEastAsia" w:eastAsiaTheme="minorEastAsia"/>
                <w:spacing w:val="-8"/>
                <w:sz w:val="21"/>
                <w:szCs w:val="21"/>
                <w:lang w:eastAsia="zh-CN"/>
              </w:rPr>
              <w:t>3</w:t>
            </w:r>
          </w:p>
        </w:tc>
        <w:tc>
          <w:tcPr>
            <w:tcW w:w="3294" w:type="dxa"/>
            <w:vAlign w:val="center"/>
          </w:tcPr>
          <w:p w14:paraId="190A52E7">
            <w:pPr>
              <w:pStyle w:val="9"/>
              <w:spacing w:line="228" w:lineRule="auto"/>
              <w:jc w:val="center"/>
              <w:rPr>
                <w:rFonts w:asciiTheme="minorEastAsia" w:hAnsiTheme="minorEastAsia" w:eastAsiaTheme="minorEastAsia"/>
                <w:spacing w:val="6"/>
                <w:sz w:val="21"/>
                <w:szCs w:val="21"/>
              </w:rPr>
            </w:pPr>
            <w:r>
              <w:rPr>
                <w:rFonts w:hint="eastAsia" w:asciiTheme="minorEastAsia" w:hAnsiTheme="minorEastAsia" w:eastAsiaTheme="minorEastAsia"/>
                <w:spacing w:val="6"/>
                <w:sz w:val="21"/>
                <w:szCs w:val="21"/>
                <w:lang w:eastAsia="zh-CN"/>
              </w:rPr>
              <w:t>内芯</w:t>
            </w:r>
            <w:r>
              <w:rPr>
                <w:rFonts w:hint="eastAsia" w:asciiTheme="minorEastAsia" w:hAnsiTheme="minorEastAsia" w:eastAsiaTheme="minorEastAsia"/>
                <w:spacing w:val="6"/>
                <w:sz w:val="21"/>
                <w:szCs w:val="21"/>
                <w:lang w:val="en-US" w:eastAsia="zh-CN"/>
              </w:rPr>
              <w:t>D65</w:t>
            </w:r>
            <w:r>
              <w:rPr>
                <w:rFonts w:asciiTheme="minorEastAsia" w:hAnsiTheme="minorEastAsia" w:eastAsiaTheme="minorEastAsia"/>
                <w:spacing w:val="6"/>
                <w:sz w:val="21"/>
                <w:szCs w:val="21"/>
              </w:rPr>
              <w:t>亮度</w:t>
            </w:r>
          </w:p>
        </w:tc>
        <w:tc>
          <w:tcPr>
            <w:tcW w:w="4431" w:type="dxa"/>
            <w:vAlign w:val="center"/>
          </w:tcPr>
          <w:p w14:paraId="0BB283EE">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GB/T 7974-2013</w:t>
            </w:r>
          </w:p>
        </w:tc>
      </w:tr>
      <w:tr w14:paraId="3DFFF8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5" w:hRule="atLeast"/>
        </w:trPr>
        <w:tc>
          <w:tcPr>
            <w:tcW w:w="923" w:type="dxa"/>
            <w:vAlign w:val="center"/>
          </w:tcPr>
          <w:p w14:paraId="184019E0">
            <w:pPr>
              <w:pStyle w:val="9"/>
              <w:spacing w:line="190" w:lineRule="auto"/>
              <w:jc w:val="center"/>
              <w:rPr>
                <w:rFonts w:hint="default" w:asciiTheme="minorEastAsia" w:hAnsiTheme="minorEastAsia" w:eastAsiaTheme="minorEastAsia"/>
                <w:spacing w:val="-8"/>
                <w:sz w:val="21"/>
                <w:szCs w:val="21"/>
                <w:lang w:val="en-US" w:eastAsia="zh-CN"/>
              </w:rPr>
            </w:pPr>
            <w:r>
              <w:rPr>
                <w:rFonts w:hint="eastAsia" w:asciiTheme="minorEastAsia" w:hAnsiTheme="minorEastAsia" w:eastAsiaTheme="minorEastAsia"/>
                <w:spacing w:val="-8"/>
                <w:sz w:val="21"/>
                <w:szCs w:val="21"/>
                <w:lang w:val="en-US" w:eastAsia="zh-CN"/>
              </w:rPr>
              <w:t>14</w:t>
            </w:r>
          </w:p>
        </w:tc>
        <w:tc>
          <w:tcPr>
            <w:tcW w:w="3294" w:type="dxa"/>
            <w:vAlign w:val="center"/>
          </w:tcPr>
          <w:p w14:paraId="7EFB6764">
            <w:pPr>
              <w:pStyle w:val="9"/>
              <w:spacing w:line="228" w:lineRule="auto"/>
              <w:jc w:val="center"/>
              <w:rPr>
                <w:rFonts w:hint="eastAsia" w:asciiTheme="minorEastAsia" w:hAnsiTheme="minorEastAsia" w:eastAsiaTheme="minorEastAsia"/>
                <w:spacing w:val="6"/>
                <w:sz w:val="21"/>
                <w:szCs w:val="21"/>
                <w:lang w:eastAsia="zh-CN"/>
              </w:rPr>
            </w:pPr>
            <w:r>
              <w:rPr>
                <w:rFonts w:hint="eastAsia" w:asciiTheme="minorEastAsia" w:hAnsiTheme="minorEastAsia" w:eastAsiaTheme="minorEastAsia"/>
                <w:spacing w:val="6"/>
                <w:sz w:val="21"/>
                <w:szCs w:val="21"/>
                <w:lang w:eastAsia="zh-CN"/>
              </w:rPr>
              <w:t>装订偏差</w:t>
            </w:r>
          </w:p>
        </w:tc>
        <w:tc>
          <w:tcPr>
            <w:tcW w:w="4431" w:type="dxa"/>
            <w:vAlign w:val="center"/>
          </w:tcPr>
          <w:p w14:paraId="37824278">
            <w:pPr>
              <w:pStyle w:val="9"/>
              <w:jc w:val="center"/>
              <w:rPr>
                <w:rFonts w:asciiTheme="minorEastAsia" w:hAnsiTheme="minorEastAsia" w:eastAsiaTheme="minorEastAsia"/>
                <w:sz w:val="21"/>
                <w:szCs w:val="21"/>
              </w:rPr>
            </w:pPr>
            <w:r>
              <w:rPr>
                <w:rFonts w:asciiTheme="minorEastAsia" w:hAnsiTheme="minorEastAsia" w:eastAsiaTheme="minorEastAsia"/>
                <w:sz w:val="21"/>
                <w:szCs w:val="21"/>
              </w:rPr>
              <w:t>QB/T 1437-2014</w:t>
            </w:r>
          </w:p>
          <w:p w14:paraId="4B6CCAE8">
            <w:pPr>
              <w:pStyle w:val="9"/>
              <w:jc w:val="center"/>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QB/T 1437-2023</w:t>
            </w:r>
          </w:p>
        </w:tc>
      </w:tr>
      <w:tr w14:paraId="528355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80" w:hRule="atLeast"/>
        </w:trPr>
        <w:tc>
          <w:tcPr>
            <w:tcW w:w="8648" w:type="dxa"/>
            <w:gridSpan w:val="3"/>
            <w:vAlign w:val="center"/>
          </w:tcPr>
          <w:p w14:paraId="56F5BEA6">
            <w:pPr>
              <w:pStyle w:val="9"/>
              <w:ind w:firstLine="105" w:firstLineChars="50"/>
              <w:jc w:val="center"/>
              <w:rPr>
                <w:rFonts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备注：2024年7月1日前生产的产品检验按照</w:t>
            </w:r>
            <w:r>
              <w:rPr>
                <w:rFonts w:asciiTheme="minorEastAsia" w:hAnsiTheme="minorEastAsia" w:eastAsiaTheme="minorEastAsia"/>
                <w:sz w:val="21"/>
                <w:szCs w:val="21"/>
                <w:lang w:eastAsia="zh-CN"/>
              </w:rPr>
              <w:t>GB</w:t>
            </w:r>
            <w:r>
              <w:rPr>
                <w:rFonts w:asciiTheme="minorEastAsia" w:hAnsiTheme="minorEastAsia" w:eastAsiaTheme="minorEastAsia"/>
                <w:spacing w:val="5"/>
                <w:sz w:val="21"/>
                <w:szCs w:val="21"/>
                <w:lang w:eastAsia="zh-CN"/>
              </w:rPr>
              <w:t>/T 451.2-2002</w:t>
            </w:r>
            <w:r>
              <w:rPr>
                <w:rFonts w:hint="eastAsia" w:asciiTheme="minorEastAsia" w:hAnsiTheme="minorEastAsia" w:eastAsiaTheme="minorEastAsia"/>
                <w:spacing w:val="5"/>
                <w:sz w:val="21"/>
                <w:szCs w:val="21"/>
                <w:lang w:eastAsia="zh-CN"/>
              </w:rPr>
              <w:t>、</w:t>
            </w:r>
            <w:r>
              <w:rPr>
                <w:rFonts w:hint="eastAsia" w:asciiTheme="minorEastAsia" w:hAnsiTheme="minorEastAsia" w:eastAsiaTheme="minorEastAsia"/>
                <w:spacing w:val="4"/>
                <w:sz w:val="21"/>
                <w:szCs w:val="21"/>
                <w:lang w:eastAsia="zh-CN"/>
              </w:rPr>
              <w:t>QB/T 1437-2014</w:t>
            </w:r>
            <w:r>
              <w:rPr>
                <w:rFonts w:hint="eastAsia" w:asciiTheme="minorEastAsia" w:hAnsiTheme="minorEastAsia" w:eastAsiaTheme="minorEastAsia"/>
                <w:spacing w:val="5"/>
                <w:sz w:val="21"/>
                <w:szCs w:val="21"/>
                <w:lang w:eastAsia="zh-CN"/>
              </w:rPr>
              <w:t>方法执行。</w:t>
            </w:r>
          </w:p>
        </w:tc>
      </w:tr>
    </w:tbl>
    <w:p w14:paraId="40B592B5">
      <w:pPr>
        <w:pStyle w:val="2"/>
        <w:spacing w:line="300" w:lineRule="exact"/>
        <w:ind w:firstLine="400" w:firstLineChars="200"/>
        <w:jc w:val="both"/>
        <w:rPr>
          <w:lang w:eastAsia="zh-CN"/>
        </w:rPr>
      </w:pPr>
      <w:r>
        <w:rPr>
          <w:lang w:eastAsia="zh-CN"/>
        </w:rPr>
        <w:t>注</w:t>
      </w:r>
      <w:r>
        <w:rPr>
          <w:rFonts w:hint="eastAsia"/>
          <w:lang w:eastAsia="zh-CN"/>
        </w:rPr>
        <w:t>1：</w:t>
      </w:r>
      <w:r>
        <w:rPr>
          <w:lang w:eastAsia="zh-CN"/>
        </w:rPr>
        <w:t>上表所列检验项目是有关法律法规、标准等规定的，重点涉及健康、安全、节能、环保以及消费</w:t>
      </w:r>
      <w:r>
        <w:rPr>
          <w:spacing w:val="-1"/>
          <w:lang w:eastAsia="zh-CN"/>
        </w:rPr>
        <w:t>者、有关组织反映有质量问题的重要项目。</w:t>
      </w:r>
    </w:p>
    <w:p w14:paraId="64C2F50A">
      <w:pPr>
        <w:pStyle w:val="2"/>
        <w:spacing w:line="300" w:lineRule="exact"/>
        <w:ind w:firstLine="400" w:firstLineChars="200"/>
        <w:rPr>
          <w:lang w:eastAsia="zh-CN"/>
        </w:rPr>
      </w:pPr>
      <w:r>
        <w:rPr>
          <w:rFonts w:hint="eastAsia"/>
          <w:lang w:eastAsia="zh-CN"/>
        </w:rPr>
        <w:t>注 2：</w:t>
      </w:r>
      <w:r>
        <w:rPr>
          <w:spacing w:val="-1"/>
          <w:lang w:eastAsia="zh-CN"/>
        </w:rPr>
        <w:t>检验方法包括相关产品标准及试验方法标准。</w:t>
      </w:r>
    </w:p>
    <w:p w14:paraId="3E8C344B">
      <w:pPr>
        <w:pStyle w:val="2"/>
        <w:spacing w:line="300" w:lineRule="exact"/>
        <w:ind w:firstLine="400" w:firstLineChars="200"/>
        <w:rPr>
          <w:lang w:eastAsia="zh-CN"/>
        </w:rPr>
      </w:pPr>
      <w:r>
        <w:rPr>
          <w:rFonts w:hint="eastAsia"/>
          <w:lang w:eastAsia="zh-CN"/>
        </w:rPr>
        <w:t>注 3：</w:t>
      </w:r>
      <w:r>
        <w:rPr>
          <w:lang w:eastAsia="zh-CN"/>
        </w:rPr>
        <w:t>凡是注日期的文件，其随后所有的修改单（不包括勘误的内容）或修订版不适用于本细则。凡是</w:t>
      </w:r>
      <w:r>
        <w:rPr>
          <w:spacing w:val="-1"/>
          <w:lang w:eastAsia="zh-CN"/>
        </w:rPr>
        <w:t>不注日期的文件，其最新版本适用于本细则。</w:t>
      </w:r>
    </w:p>
    <w:p w14:paraId="369C996A">
      <w:pPr>
        <w:pStyle w:val="2"/>
        <w:spacing w:line="300" w:lineRule="exact"/>
        <w:ind w:firstLine="400" w:firstLineChars="200"/>
        <w:rPr>
          <w:lang w:eastAsia="zh-CN"/>
        </w:rPr>
      </w:pPr>
      <w:r>
        <w:rPr>
          <w:rFonts w:hint="eastAsia"/>
          <w:lang w:eastAsia="zh-CN"/>
        </w:rPr>
        <w:t>注 4：</w:t>
      </w:r>
      <w:r>
        <w:rPr>
          <w:lang w:eastAsia="zh-CN"/>
        </w:rPr>
        <w:t>执行企业标准、团体标准、地方标准的产品，检验项目参</w:t>
      </w:r>
      <w:r>
        <w:rPr>
          <w:spacing w:val="-1"/>
          <w:lang w:eastAsia="zh-CN"/>
        </w:rPr>
        <w:t>照上述内容执行。</w:t>
      </w:r>
    </w:p>
    <w:p w14:paraId="0DD3DD86">
      <w:pPr>
        <w:spacing w:line="327" w:lineRule="auto"/>
        <w:rPr>
          <w:lang w:eastAsia="zh-CN"/>
        </w:rPr>
      </w:pPr>
    </w:p>
    <w:p w14:paraId="60C2C93D">
      <w:pPr>
        <w:spacing w:before="65" w:line="230" w:lineRule="auto"/>
        <w:ind w:left="34"/>
        <w:rPr>
          <w:rFonts w:ascii="黑体" w:hAnsi="黑体" w:eastAsia="黑体" w:cs="黑体"/>
          <w:lang w:eastAsia="zh-CN"/>
        </w:rPr>
      </w:pPr>
      <w:r>
        <w:rPr>
          <w:rFonts w:ascii="黑体" w:hAnsi="黑体" w:eastAsia="黑体" w:cs="黑体"/>
          <w:spacing w:val="5"/>
          <w:lang w:eastAsia="zh-CN"/>
        </w:rPr>
        <w:t>3</w:t>
      </w:r>
      <w:r>
        <w:rPr>
          <w:rFonts w:ascii="黑体" w:hAnsi="黑体" w:eastAsia="黑体" w:cs="黑体"/>
          <w:spacing w:val="9"/>
          <w:lang w:eastAsia="zh-CN"/>
        </w:rPr>
        <w:t xml:space="preserve">  </w:t>
      </w:r>
      <w:r>
        <w:rPr>
          <w:rFonts w:ascii="黑体" w:hAnsi="黑体" w:eastAsia="黑体" w:cs="黑体"/>
          <w:spacing w:val="5"/>
          <w:lang w:eastAsia="zh-CN"/>
        </w:rPr>
        <w:t>判定规则</w:t>
      </w:r>
    </w:p>
    <w:p w14:paraId="2FDDCDE8">
      <w:pPr>
        <w:spacing w:before="66" w:line="230" w:lineRule="auto"/>
        <w:ind w:left="34"/>
        <w:rPr>
          <w:rFonts w:ascii="黑体" w:hAnsi="黑体" w:eastAsia="黑体" w:cs="黑体"/>
          <w:lang w:eastAsia="zh-CN"/>
        </w:rPr>
      </w:pPr>
      <w:r>
        <w:rPr>
          <w:rFonts w:ascii="黑体" w:hAnsi="黑体" w:eastAsia="黑体" w:cs="黑体"/>
          <w:spacing w:val="5"/>
          <w:lang w:eastAsia="zh-CN"/>
        </w:rPr>
        <w:t>3.1</w:t>
      </w:r>
      <w:r>
        <w:rPr>
          <w:rFonts w:ascii="黑体" w:hAnsi="黑体" w:eastAsia="黑体" w:cs="黑体"/>
          <w:spacing w:val="9"/>
          <w:lang w:eastAsia="zh-CN"/>
        </w:rPr>
        <w:t xml:space="preserve">  </w:t>
      </w:r>
      <w:r>
        <w:rPr>
          <w:rFonts w:ascii="黑体" w:hAnsi="黑体" w:eastAsia="黑体" w:cs="黑体"/>
          <w:spacing w:val="5"/>
          <w:lang w:eastAsia="zh-CN"/>
        </w:rPr>
        <w:t>依据标准</w:t>
      </w:r>
    </w:p>
    <w:p w14:paraId="037F2021">
      <w:pPr>
        <w:pStyle w:val="2"/>
        <w:spacing w:beforeLines="50"/>
        <w:ind w:firstLine="448" w:firstLineChars="200"/>
        <w:rPr>
          <w:spacing w:val="7"/>
          <w:sz w:val="21"/>
          <w:szCs w:val="21"/>
          <w:lang w:eastAsia="zh-CN"/>
        </w:rPr>
      </w:pPr>
      <w:r>
        <w:rPr>
          <w:spacing w:val="7"/>
          <w:sz w:val="21"/>
          <w:szCs w:val="21"/>
          <w:lang w:eastAsia="zh-CN"/>
        </w:rPr>
        <w:t xml:space="preserve">GB/T 451.2-2002  纸和纸板定量的测定 </w:t>
      </w:r>
    </w:p>
    <w:p w14:paraId="17C65FF2">
      <w:pPr>
        <w:pStyle w:val="2"/>
        <w:spacing w:beforeLines="50"/>
        <w:ind w:firstLine="448" w:firstLineChars="200"/>
        <w:rPr>
          <w:spacing w:val="7"/>
          <w:sz w:val="21"/>
          <w:szCs w:val="21"/>
          <w:lang w:eastAsia="zh-CN"/>
        </w:rPr>
      </w:pPr>
      <w:r>
        <w:rPr>
          <w:spacing w:val="7"/>
          <w:sz w:val="21"/>
          <w:szCs w:val="21"/>
          <w:lang w:eastAsia="zh-CN"/>
        </w:rPr>
        <w:t>GB/T 451.2-20</w:t>
      </w:r>
      <w:r>
        <w:rPr>
          <w:rFonts w:hint="eastAsia"/>
          <w:spacing w:val="7"/>
          <w:sz w:val="21"/>
          <w:szCs w:val="21"/>
          <w:lang w:eastAsia="zh-CN"/>
        </w:rPr>
        <w:t>23</w:t>
      </w:r>
      <w:r>
        <w:rPr>
          <w:spacing w:val="7"/>
          <w:sz w:val="21"/>
          <w:szCs w:val="21"/>
          <w:lang w:eastAsia="zh-CN"/>
        </w:rPr>
        <w:t xml:space="preserve">  纸和纸板定量的测定</w:t>
      </w:r>
    </w:p>
    <w:p w14:paraId="6B40B869">
      <w:pPr>
        <w:pStyle w:val="2"/>
        <w:spacing w:beforeLines="50"/>
        <w:ind w:firstLine="448" w:firstLineChars="200"/>
        <w:rPr>
          <w:spacing w:val="7"/>
          <w:sz w:val="21"/>
          <w:szCs w:val="21"/>
          <w:lang w:eastAsia="zh-CN"/>
        </w:rPr>
      </w:pPr>
      <w:r>
        <w:rPr>
          <w:spacing w:val="7"/>
          <w:sz w:val="21"/>
          <w:szCs w:val="21"/>
          <w:lang w:eastAsia="zh-CN"/>
        </w:rPr>
        <w:t>GB/T 460-2008  纸施胶度的测定</w:t>
      </w:r>
    </w:p>
    <w:p w14:paraId="5C8382BC">
      <w:pPr>
        <w:pStyle w:val="2"/>
        <w:spacing w:beforeLines="50"/>
        <w:ind w:firstLine="448" w:firstLineChars="200"/>
        <w:rPr>
          <w:spacing w:val="7"/>
          <w:sz w:val="21"/>
          <w:szCs w:val="21"/>
          <w:lang w:eastAsia="zh-CN"/>
        </w:rPr>
      </w:pPr>
      <w:r>
        <w:rPr>
          <w:spacing w:val="7"/>
          <w:sz w:val="21"/>
          <w:szCs w:val="21"/>
          <w:lang w:eastAsia="zh-CN"/>
        </w:rPr>
        <w:t>GB/T 7974-2013  纸、纸板和纸浆  蓝光漫反射因数 D65 亮度的测定（漫射/垂直法， 室外日光条件）</w:t>
      </w:r>
    </w:p>
    <w:p w14:paraId="2039CD5A">
      <w:pPr>
        <w:pStyle w:val="2"/>
        <w:spacing w:beforeLines="50"/>
        <w:ind w:firstLine="448" w:firstLineChars="200"/>
        <w:rPr>
          <w:spacing w:val="7"/>
          <w:sz w:val="21"/>
          <w:szCs w:val="21"/>
          <w:lang w:eastAsia="zh-CN"/>
        </w:rPr>
      </w:pPr>
      <w:r>
        <w:rPr>
          <w:spacing w:val="7"/>
          <w:sz w:val="21"/>
          <w:szCs w:val="21"/>
          <w:lang w:eastAsia="zh-CN"/>
        </w:rPr>
        <w:t>QB/T 1437-2014  课业薄册</w:t>
      </w:r>
    </w:p>
    <w:p w14:paraId="174EFF4D">
      <w:pPr>
        <w:pStyle w:val="2"/>
        <w:spacing w:beforeLines="50"/>
        <w:ind w:firstLine="448" w:firstLineChars="200"/>
        <w:rPr>
          <w:spacing w:val="7"/>
          <w:sz w:val="21"/>
          <w:szCs w:val="21"/>
          <w:lang w:eastAsia="zh-CN"/>
        </w:rPr>
      </w:pPr>
      <w:r>
        <w:rPr>
          <w:spacing w:val="7"/>
          <w:sz w:val="21"/>
          <w:szCs w:val="21"/>
          <w:lang w:eastAsia="zh-CN"/>
        </w:rPr>
        <w:t>QB/T 1437-20</w:t>
      </w:r>
      <w:r>
        <w:rPr>
          <w:rFonts w:hint="eastAsia"/>
          <w:spacing w:val="7"/>
          <w:sz w:val="21"/>
          <w:szCs w:val="21"/>
          <w:lang w:eastAsia="zh-CN"/>
        </w:rPr>
        <w:t>23</w:t>
      </w:r>
      <w:r>
        <w:rPr>
          <w:spacing w:val="7"/>
          <w:sz w:val="21"/>
          <w:szCs w:val="21"/>
          <w:lang w:eastAsia="zh-CN"/>
        </w:rPr>
        <w:t xml:space="preserve">  课业薄册</w:t>
      </w:r>
    </w:p>
    <w:p w14:paraId="35F2198C">
      <w:pPr>
        <w:pStyle w:val="2"/>
        <w:spacing w:beforeLines="50"/>
        <w:ind w:firstLine="448" w:firstLineChars="200"/>
        <w:rPr>
          <w:spacing w:val="7"/>
          <w:sz w:val="21"/>
          <w:szCs w:val="21"/>
          <w:lang w:eastAsia="zh-CN"/>
        </w:rPr>
      </w:pPr>
      <w:r>
        <w:rPr>
          <w:spacing w:val="7"/>
          <w:sz w:val="21"/>
          <w:szCs w:val="21"/>
          <w:lang w:eastAsia="zh-CN"/>
        </w:rPr>
        <w:t>现行有效企业标准、团体标准、地方标准及产品明示质量要求。</w:t>
      </w:r>
    </w:p>
    <w:p w14:paraId="37FEF111">
      <w:pPr>
        <w:spacing w:line="309" w:lineRule="auto"/>
        <w:rPr>
          <w:lang w:eastAsia="zh-CN"/>
        </w:rPr>
      </w:pPr>
    </w:p>
    <w:p w14:paraId="3A0C06B8">
      <w:pPr>
        <w:spacing w:before="65" w:line="230" w:lineRule="auto"/>
        <w:ind w:left="34"/>
        <w:rPr>
          <w:rFonts w:ascii="黑体" w:hAnsi="黑体" w:eastAsia="黑体" w:cs="黑体"/>
          <w:lang w:eastAsia="zh-CN"/>
        </w:rPr>
      </w:pPr>
      <w:r>
        <w:rPr>
          <w:rFonts w:ascii="黑体" w:hAnsi="黑体" w:eastAsia="黑体" w:cs="黑体"/>
          <w:spacing w:val="5"/>
          <w:lang w:eastAsia="zh-CN"/>
        </w:rPr>
        <w:t>3.2</w:t>
      </w:r>
      <w:r>
        <w:rPr>
          <w:rFonts w:ascii="黑体" w:hAnsi="黑体" w:eastAsia="黑体" w:cs="黑体"/>
          <w:spacing w:val="9"/>
          <w:lang w:eastAsia="zh-CN"/>
        </w:rPr>
        <w:t xml:space="preserve">  </w:t>
      </w:r>
      <w:r>
        <w:rPr>
          <w:rFonts w:ascii="黑体" w:hAnsi="黑体" w:eastAsia="黑体" w:cs="黑体"/>
          <w:spacing w:val="5"/>
          <w:lang w:eastAsia="zh-CN"/>
        </w:rPr>
        <w:t>判定原则</w:t>
      </w:r>
    </w:p>
    <w:p w14:paraId="54C45E1D">
      <w:pPr>
        <w:pStyle w:val="2"/>
        <w:spacing w:beforeLines="50"/>
        <w:ind w:firstLine="448" w:firstLineChars="200"/>
        <w:rPr>
          <w:sz w:val="21"/>
          <w:szCs w:val="21"/>
          <w:lang w:eastAsia="zh-CN"/>
        </w:rPr>
      </w:pPr>
      <w:r>
        <w:rPr>
          <w:spacing w:val="7"/>
          <w:sz w:val="21"/>
          <w:szCs w:val="21"/>
          <w:lang w:eastAsia="zh-CN"/>
        </w:rPr>
        <w:t>经检验，检验项目全部合格，判定为被抽查产品所检项目未发现不合格；检验项目中任</w:t>
      </w:r>
      <w:r>
        <w:rPr>
          <w:spacing w:val="9"/>
          <w:sz w:val="21"/>
          <w:szCs w:val="21"/>
          <w:lang w:eastAsia="zh-CN"/>
        </w:rPr>
        <w:t>一项或一项以上不合格，判定为被抽查产品不合</w:t>
      </w:r>
      <w:r>
        <w:rPr>
          <w:spacing w:val="8"/>
          <w:sz w:val="21"/>
          <w:szCs w:val="21"/>
          <w:lang w:eastAsia="zh-CN"/>
        </w:rPr>
        <w:t>格。</w:t>
      </w:r>
    </w:p>
    <w:p w14:paraId="2DA1FF4B">
      <w:pPr>
        <w:pStyle w:val="2"/>
        <w:spacing w:beforeLines="50"/>
        <w:ind w:firstLine="448" w:firstLineChars="200"/>
        <w:rPr>
          <w:sz w:val="21"/>
          <w:szCs w:val="21"/>
          <w:lang w:eastAsia="zh-CN"/>
        </w:rPr>
      </w:pPr>
      <w:r>
        <w:rPr>
          <w:spacing w:val="7"/>
          <w:sz w:val="21"/>
          <w:szCs w:val="21"/>
          <w:lang w:eastAsia="zh-CN"/>
        </w:rPr>
        <w:t>若被检产品明示的质量要求高于本细则中检验项目依据的标准要求时，应按被检产品明示的质量要求判定。</w:t>
      </w:r>
    </w:p>
    <w:p w14:paraId="577AA925">
      <w:pPr>
        <w:pStyle w:val="2"/>
        <w:spacing w:beforeLines="50"/>
        <w:ind w:firstLine="448" w:firstLineChars="200"/>
        <w:rPr>
          <w:sz w:val="21"/>
          <w:szCs w:val="21"/>
          <w:lang w:eastAsia="zh-CN"/>
        </w:rPr>
      </w:pPr>
      <w:r>
        <w:rPr>
          <w:spacing w:val="7"/>
          <w:sz w:val="21"/>
          <w:szCs w:val="21"/>
          <w:lang w:eastAsia="zh-CN"/>
        </w:rPr>
        <w:t>若被检产品明示的质量要求低于本细则中检验项目依据的强制性标准要求时，应按照强制性标准要求判定。</w:t>
      </w:r>
    </w:p>
    <w:p w14:paraId="15012E3E">
      <w:pPr>
        <w:pStyle w:val="2"/>
        <w:spacing w:beforeLines="50"/>
        <w:ind w:firstLine="448" w:firstLineChars="200"/>
        <w:rPr>
          <w:sz w:val="21"/>
          <w:szCs w:val="21"/>
          <w:lang w:eastAsia="zh-CN"/>
        </w:rPr>
      </w:pPr>
      <w:r>
        <w:rPr>
          <w:spacing w:val="7"/>
          <w:sz w:val="21"/>
          <w:szCs w:val="21"/>
          <w:lang w:eastAsia="zh-CN"/>
        </w:rPr>
        <w:t>若被检产品明示的质量要求低于或包含本细则中检验项目依据的推荐性标准要求时，应</w:t>
      </w:r>
      <w:r>
        <w:rPr>
          <w:spacing w:val="8"/>
          <w:sz w:val="21"/>
          <w:szCs w:val="21"/>
          <w:lang w:eastAsia="zh-CN"/>
        </w:rPr>
        <w:t>以被检产品明示的质量要求判定，但应在检验报告备注中进行说明。</w:t>
      </w:r>
    </w:p>
    <w:p w14:paraId="658F3BA3">
      <w:pPr>
        <w:pStyle w:val="2"/>
        <w:spacing w:beforeLines="50"/>
        <w:ind w:firstLine="448" w:firstLineChars="200"/>
        <w:rPr>
          <w:sz w:val="21"/>
          <w:szCs w:val="21"/>
          <w:lang w:eastAsia="zh-CN"/>
        </w:rPr>
      </w:pPr>
      <w:r>
        <w:rPr>
          <w:spacing w:val="7"/>
          <w:sz w:val="21"/>
          <w:szCs w:val="21"/>
          <w:lang w:eastAsia="zh-CN"/>
        </w:rPr>
        <w:t>若被检产品明示的质量要求缺少本细则中检验项目依据的强制性标准要求时，应按照强制性标准要求判定。</w:t>
      </w:r>
    </w:p>
    <w:p w14:paraId="411123D4">
      <w:pPr>
        <w:pStyle w:val="2"/>
        <w:spacing w:beforeLines="50"/>
        <w:ind w:firstLine="448" w:firstLineChars="200"/>
        <w:rPr>
          <w:sz w:val="21"/>
          <w:szCs w:val="21"/>
          <w:lang w:eastAsia="zh-CN"/>
        </w:rPr>
      </w:pPr>
      <w:r>
        <w:rPr>
          <w:spacing w:val="7"/>
          <w:sz w:val="21"/>
          <w:szCs w:val="21"/>
          <w:lang w:eastAsia="zh-CN"/>
        </w:rPr>
        <w:t>若被检产品明示的质量要求缺少本细则中检验项目依据的推荐性标准要求时，该项目不</w:t>
      </w:r>
      <w:r>
        <w:rPr>
          <w:spacing w:val="8"/>
          <w:sz w:val="21"/>
          <w:szCs w:val="21"/>
          <w:lang w:eastAsia="zh-CN"/>
        </w:rPr>
        <w:t>参与判定，但应在检验报告备注中进行说明。</w:t>
      </w:r>
    </w:p>
    <w:sectPr>
      <w:headerReference r:id="rId3" w:type="default"/>
      <w:footerReference r:id="rId4" w:type="default"/>
      <w:pgSz w:w="11906" w:h="16839"/>
      <w:pgMar w:top="1429" w:right="1588" w:bottom="1418" w:left="1701" w:header="0" w:footer="964"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BEFCE">
    <w:pPr>
      <w:pStyle w:val="4"/>
      <w:jc w:val="center"/>
    </w:pPr>
    <w:r>
      <w:rPr>
        <w:rFonts w:hint="eastAsia"/>
        <w:lang w:val="zh-CN" w:eastAsia="zh-CN"/>
      </w:rPr>
      <w:t>第</w:t>
    </w:r>
    <w:r>
      <w:rPr>
        <w:lang w:val="zh-CN" w:eastAsia="zh-CN"/>
      </w:rPr>
      <w:fldChar w:fldCharType="begin"/>
    </w:r>
    <w:r>
      <w:rPr>
        <w:lang w:val="zh-CN" w:eastAsia="zh-CN"/>
      </w:rPr>
      <w:instrText xml:space="preserve"> PAGE   \* MERGEFORMAT </w:instrText>
    </w:r>
    <w:r>
      <w:rPr>
        <w:lang w:val="zh-CN" w:eastAsia="zh-CN"/>
      </w:rPr>
      <w:fldChar w:fldCharType="separate"/>
    </w:r>
    <w:r>
      <w:rPr>
        <w:lang w:eastAsia="zh-CN"/>
      </w:rPr>
      <w:t>1</w:t>
    </w:r>
    <w:r>
      <w:rPr>
        <w:lang w:val="zh-CN" w:eastAsia="zh-CN"/>
      </w:rPr>
      <w:fldChar w:fldCharType="end"/>
    </w:r>
    <w:r>
      <w:rPr>
        <w:rFonts w:hint="eastAsia"/>
        <w:lang w:val="zh-CN" w:eastAsia="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47DC0">
    <w:pPr>
      <w:pStyle w:val="5"/>
      <w:pBdr>
        <w:bottom w:val="none" w:color="auto" w:sz="0" w:space="0"/>
      </w:pBdr>
      <w:jc w:val="right"/>
      <w:rPr>
        <w:rFonts w:eastAsiaTheme="minorEastAsia"/>
        <w:b/>
        <w:sz w:val="24"/>
        <w:lang w:eastAsia="zh-CN"/>
      </w:rPr>
    </w:pPr>
  </w:p>
  <w:p w14:paraId="127732ED">
    <w:pPr>
      <w:pStyle w:val="5"/>
      <w:pBdr>
        <w:bottom w:val="none" w:color="auto" w:sz="0" w:space="0"/>
      </w:pBdr>
      <w:jc w:val="right"/>
      <w:rPr>
        <w:rFonts w:eastAsiaTheme="minorEastAsia"/>
        <w:b/>
        <w:sz w:val="24"/>
        <w:lang w:eastAsia="zh-CN"/>
      </w:rPr>
    </w:pPr>
  </w:p>
  <w:p w14:paraId="75DBB3A3">
    <w:pPr>
      <w:pStyle w:val="5"/>
      <w:pBdr>
        <w:bottom w:val="none" w:color="auto" w:sz="0" w:space="0"/>
      </w:pBdr>
      <w:jc w:val="right"/>
      <w:rPr>
        <w:rFonts w:eastAsiaTheme="minorEastAsia"/>
        <w:b/>
        <w:sz w:val="24"/>
        <w:lang w:eastAsia="zh-CN"/>
      </w:rPr>
    </w:pPr>
  </w:p>
  <w:p w14:paraId="3FCAE6E1">
    <w:pPr>
      <w:pStyle w:val="5"/>
      <w:pBdr>
        <w:bottom w:val="none" w:color="auto" w:sz="0" w:space="0"/>
      </w:pBdr>
      <w:jc w:val="right"/>
      <w:rPr>
        <w:rFonts w:ascii="Times New Roman" w:hAnsi="Times New Roman" w:cs="Times New Roman"/>
      </w:rPr>
    </w:pPr>
    <w:r>
      <w:rPr>
        <w:rFonts w:ascii="Times New Roman" w:hAnsi="Times New Roman" w:cs="Times New Roman"/>
        <w:b/>
        <w:sz w:val="24"/>
      </w:rPr>
      <w:t>DZSJDCC20</w:t>
    </w:r>
    <w:r>
      <w:rPr>
        <w:rFonts w:hint="eastAsia" w:ascii="Times New Roman" w:hAnsi="Times New Roman" w:cs="Times New Roman" w:eastAsiaTheme="minorEastAsia"/>
        <w:b/>
        <w:sz w:val="24"/>
        <w:lang w:eastAsia="zh-CN"/>
      </w:rPr>
      <w:t>2</w:t>
    </w:r>
    <w:r>
      <w:rPr>
        <w:rFonts w:hint="eastAsia" w:ascii="Times New Roman" w:hAnsi="Times New Roman" w:cs="Times New Roman" w:eastAsiaTheme="minorEastAsia"/>
        <w:b/>
        <w:sz w:val="24"/>
        <w:lang w:val="en-US" w:eastAsia="zh-CN"/>
      </w:rPr>
      <w:t>6</w:t>
    </w:r>
    <w:r>
      <w:rPr>
        <w:rFonts w:ascii="Times New Roman" w:cs="Times New Roman"/>
        <w:b/>
        <w:sz w:val="24"/>
      </w:rPr>
      <w:t>年</w:t>
    </w:r>
    <w:r>
      <w:rPr>
        <w:rFonts w:ascii="Times New Roman" w:hAnsi="Times New Roman" w:cs="Times New Roman"/>
        <w:b/>
        <w:sz w:val="24"/>
      </w:rPr>
      <w:t>001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1"/>
  <w:bordersDoNotSurroundFooter w:val="1"/>
  <w:documentProtection w:enforcement="0"/>
  <w:defaultTabStop w:val="420"/>
  <w:drawingGridHorizontalSpacing w:val="105"/>
  <w:displayHorizontalDrawingGridEvery w:val="2"/>
  <w:characterSpacingControl w:val="doNotCompress"/>
  <w:compat>
    <w:spaceForUL/>
    <w:ulTrailSpace/>
    <w:useFELayout/>
    <w:compatSetting w:name="compatibilityMode" w:uri="http://schemas.microsoft.com/office/word" w:val="12"/>
  </w:compat>
  <w:rsids>
    <w:rsidRoot w:val="004D58CA"/>
    <w:rsid w:val="0000606B"/>
    <w:rsid w:val="001E5812"/>
    <w:rsid w:val="00212287"/>
    <w:rsid w:val="00261A97"/>
    <w:rsid w:val="002929F1"/>
    <w:rsid w:val="00415761"/>
    <w:rsid w:val="004301BC"/>
    <w:rsid w:val="004D58CA"/>
    <w:rsid w:val="005134F7"/>
    <w:rsid w:val="005C1BE8"/>
    <w:rsid w:val="006974A9"/>
    <w:rsid w:val="0078041E"/>
    <w:rsid w:val="007C13BF"/>
    <w:rsid w:val="007F5710"/>
    <w:rsid w:val="00920B69"/>
    <w:rsid w:val="00A86EE5"/>
    <w:rsid w:val="00B0691C"/>
    <w:rsid w:val="00CB79EC"/>
    <w:rsid w:val="00D510BE"/>
    <w:rsid w:val="00D74C93"/>
    <w:rsid w:val="00E501E8"/>
    <w:rsid w:val="00E6743F"/>
    <w:rsid w:val="00E75F17"/>
    <w:rsid w:val="00EA6BFE"/>
    <w:rsid w:val="00F00ACB"/>
    <w:rsid w:val="00FE628C"/>
    <w:rsid w:val="01C963F3"/>
    <w:rsid w:val="029D0643"/>
    <w:rsid w:val="05AB0380"/>
    <w:rsid w:val="082E2D29"/>
    <w:rsid w:val="10437371"/>
    <w:rsid w:val="144A0B1C"/>
    <w:rsid w:val="16AD19E8"/>
    <w:rsid w:val="170F37A6"/>
    <w:rsid w:val="191A0E8B"/>
    <w:rsid w:val="1A226249"/>
    <w:rsid w:val="1C821221"/>
    <w:rsid w:val="1F046865"/>
    <w:rsid w:val="252235A1"/>
    <w:rsid w:val="27B933DA"/>
    <w:rsid w:val="2B503A51"/>
    <w:rsid w:val="301D6ECC"/>
    <w:rsid w:val="309B06AC"/>
    <w:rsid w:val="310F3242"/>
    <w:rsid w:val="35215623"/>
    <w:rsid w:val="3AB42A96"/>
    <w:rsid w:val="513609D6"/>
    <w:rsid w:val="51C47B39"/>
    <w:rsid w:val="5357201B"/>
    <w:rsid w:val="54D57D83"/>
    <w:rsid w:val="57AC6B77"/>
    <w:rsid w:val="5D9F2CDA"/>
    <w:rsid w:val="5EC21376"/>
    <w:rsid w:val="637F3391"/>
    <w:rsid w:val="63886770"/>
    <w:rsid w:val="63E87188"/>
    <w:rsid w:val="65402FF4"/>
    <w:rsid w:val="6ABF49BB"/>
    <w:rsid w:val="6C865790"/>
    <w:rsid w:val="6D0B213A"/>
    <w:rsid w:val="70A26911"/>
    <w:rsid w:val="74051691"/>
    <w:rsid w:val="78E0447A"/>
    <w:rsid w:val="7F600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rPr>
  </w:style>
  <w:style w:type="paragraph" w:styleId="3">
    <w:name w:val="Balloon Text"/>
    <w:basedOn w:val="1"/>
    <w:link w:val="12"/>
    <w:uiPriority w:val="0"/>
    <w:rPr>
      <w:sz w:val="18"/>
      <w:szCs w:val="18"/>
    </w:rPr>
  </w:style>
  <w:style w:type="paragraph" w:styleId="4">
    <w:name w:val="footer"/>
    <w:basedOn w:val="1"/>
    <w:link w:val="11"/>
    <w:qFormat/>
    <w:uiPriority w:val="99"/>
    <w:pPr>
      <w:tabs>
        <w:tab w:val="center" w:pos="4153"/>
        <w:tab w:val="right" w:pos="8306"/>
      </w:tabs>
    </w:pPr>
    <w:rPr>
      <w:sz w:val="18"/>
      <w:szCs w:val="18"/>
    </w:rPr>
  </w:style>
  <w:style w:type="paragraph" w:styleId="5">
    <w:name w:val="header"/>
    <w:basedOn w:val="1"/>
    <w:link w:val="10"/>
    <w:qFormat/>
    <w:uiPriority w:val="99"/>
    <w:pPr>
      <w:pBdr>
        <w:bottom w:val="single" w:color="auto" w:sz="6" w:space="1"/>
      </w:pBdr>
      <w:tabs>
        <w:tab w:val="center" w:pos="4153"/>
        <w:tab w:val="right" w:pos="8306"/>
      </w:tabs>
      <w:jc w:val="center"/>
    </w:pPr>
    <w:rPr>
      <w:sz w:val="18"/>
      <w:szCs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0"/>
      <w:szCs w:val="20"/>
    </w:rPr>
  </w:style>
  <w:style w:type="character" w:customStyle="1" w:styleId="10">
    <w:name w:val="页眉 Char"/>
    <w:basedOn w:val="7"/>
    <w:link w:val="5"/>
    <w:qFormat/>
    <w:uiPriority w:val="99"/>
    <w:rPr>
      <w:rFonts w:eastAsia="Arial"/>
      <w:snapToGrid w:val="0"/>
      <w:color w:val="000000"/>
      <w:sz w:val="18"/>
      <w:szCs w:val="18"/>
      <w:lang w:eastAsia="en-US"/>
    </w:rPr>
  </w:style>
  <w:style w:type="character" w:customStyle="1" w:styleId="11">
    <w:name w:val="页脚 Char"/>
    <w:basedOn w:val="7"/>
    <w:link w:val="4"/>
    <w:uiPriority w:val="99"/>
    <w:rPr>
      <w:rFonts w:eastAsia="Arial"/>
      <w:snapToGrid w:val="0"/>
      <w:color w:val="000000"/>
      <w:sz w:val="18"/>
      <w:szCs w:val="18"/>
      <w:lang w:eastAsia="en-US"/>
    </w:rPr>
  </w:style>
  <w:style w:type="character" w:customStyle="1" w:styleId="12">
    <w:name w:val="批注框文本 Char"/>
    <w:basedOn w:val="7"/>
    <w:link w:val="3"/>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959</Words>
  <Characters>1359</Characters>
  <Lines>10</Lines>
  <Paragraphs>2</Paragraphs>
  <TotalTime>2</TotalTime>
  <ScaleCrop>false</ScaleCrop>
  <LinksUpToDate>false</LinksUpToDate>
  <CharactersWithSpaces>1428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2023-07-14T10:44:00Z</dcterms:created>
  <dc:creator>Hao</dc:creator>
  <cp:lastModifiedBy>JASMIN</cp:lastModifiedBy>
  <cp:lastPrinted>2024-12-26T03:25:00Z</cp:lastPrinted>
  <dcterms:modified xsi:type="dcterms:W3CDTF">2025-12-15T08:04:52Z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2024-12-26T10:48:04Z</vt:filetime>
  </property>
  <property fmtid="{D5CDD505-2E9C-101B-9397-08002B2CF9AE}" pid="4" name="KSOTemplateDocerSaveRecord">
    <vt:lpwstr>eyJoZGlkIjoiZjFhNTYxNTFlZTljZDJiMjkwZjg5M2ZiOWQyOGZlMjUiLCJ1c2VySWQiOiI0MjMyNzE4MjAifQ==</vt:lpwstr>
  </property>
  <property fmtid="{D5CDD505-2E9C-101B-9397-08002B2CF9AE}" pid="5" name="KSOProductBuildVer">
    <vt:lpwstr>2052-12.1.0.24034</vt:lpwstr>
  </property>
  <property fmtid="{D5CDD505-2E9C-101B-9397-08002B2CF9AE}" pid="6" name="ICV">
    <vt:lpwstr>341434B8933442D3922637D52F042799_12</vt:lpwstr>
  </property>
</Properties>
</file>