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2023年市级知识产权专项资金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拟资助</w:t>
      </w: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项目表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  <w:t>（专利产业化资助项目）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3995"/>
        <w:gridCol w:w="7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6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7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四川聚元药业集团有限公司</w:t>
            </w:r>
          </w:p>
        </w:tc>
        <w:tc>
          <w:tcPr>
            <w:tcW w:w="7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中药饮片提取物纯化及微波灭菌技术专利组合转化项目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7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达州市川大师金来食品有限公司</w:t>
            </w:r>
          </w:p>
        </w:tc>
        <w:tc>
          <w:tcPr>
            <w:tcW w:w="7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针对肉质食品生产专利实施促进产业化项目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3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四川润物供水系统有限公司</w:t>
            </w:r>
          </w:p>
        </w:tc>
        <w:tc>
          <w:tcPr>
            <w:tcW w:w="7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地埋式管束供水装置专利转化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7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四川迈科隆真空新材料有限公司</w:t>
            </w:r>
          </w:p>
        </w:tc>
        <w:tc>
          <w:tcPr>
            <w:tcW w:w="7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一种异型真空绝热板德制造方法专利组合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7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宣汉正原微玻纤有限公司</w:t>
            </w:r>
          </w:p>
        </w:tc>
        <w:tc>
          <w:tcPr>
            <w:tcW w:w="7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一种高性能建筑保温用玻璃纤维棉毡德制备方法专利组合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9" w:hRule="atLeast"/>
          <w:jc w:val="center"/>
        </w:trPr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9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四川会欧建材机械有限公司</w:t>
            </w:r>
          </w:p>
        </w:tc>
        <w:tc>
          <w:tcPr>
            <w:tcW w:w="75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" w:eastAsia="zh-CN" w:bidi="ar-SA"/>
              </w:rPr>
              <w:t>板件清洁机器人转化项目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文泉驿微米黑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altName w:val="文泉驿微米黑"/>
    <w:panose1 w:val="02000000000000000000"/>
    <w:charset w:val="00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D54A9"/>
    <w:rsid w:val="757D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2023-12-08T16:03:00Z</dcterms:created>
  <dc:creator>与鹤</dc:creator>
  <cp:lastModifiedBy>与鹤</cp:lastModifiedBy>
  <dcterms:modified xsi:type="dcterms:W3CDTF">2023-12-08T16:04:20Z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