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53" w:lineRule="auto"/>
      </w:pPr>
      <w:bookmarkStart w:id="1" w:name="_GoBack"/>
      <w:bookmarkEnd w:id="1"/>
    </w:p>
    <w:p>
      <w:pPr>
        <w:pStyle w:val="3"/>
        <w:spacing w:line="254" w:lineRule="auto"/>
      </w:pPr>
    </w:p>
    <w:p>
      <w:pPr>
        <w:pStyle w:val="3"/>
        <w:spacing w:line="254" w:lineRule="auto"/>
      </w:pPr>
    </w:p>
    <w:p>
      <w:pPr>
        <w:pStyle w:val="3"/>
        <w:spacing w:line="254" w:lineRule="auto"/>
      </w:pPr>
    </w:p>
    <w:p>
      <w:pPr>
        <w:pStyle w:val="10"/>
        <w:bidi w:val="0"/>
        <w:jc w:val="center"/>
        <w:rPr>
          <w:rFonts w:hint="eastAsia"/>
          <w:sz w:val="48"/>
          <w:szCs w:val="48"/>
          <w:lang w:eastAsia="zh-CN"/>
        </w:rPr>
      </w:pPr>
      <w:r>
        <w:rPr>
          <w:rFonts w:hint="eastAsia"/>
          <w:sz w:val="28"/>
          <w:szCs w:val="28"/>
          <w:lang w:eastAsia="zh-CN"/>
        </w:rPr>
        <w:t>四川省(达州市)地方标准</w:t>
      </w:r>
    </w:p>
    <w:p>
      <w:pPr>
        <w:pStyle w:val="3"/>
        <w:spacing w:line="271" w:lineRule="auto"/>
      </w:pPr>
    </w:p>
    <w:p>
      <w:pPr>
        <w:pStyle w:val="3"/>
        <w:spacing w:line="271" w:lineRule="auto"/>
      </w:pPr>
    </w:p>
    <w:p>
      <w:pPr>
        <w:pStyle w:val="3"/>
        <w:spacing w:line="272" w:lineRule="auto"/>
      </w:pPr>
    </w:p>
    <w:p>
      <w:pPr>
        <w:pStyle w:val="3"/>
        <w:spacing w:line="272" w:lineRule="auto"/>
      </w:pPr>
    </w:p>
    <w:p>
      <w:pPr>
        <w:pStyle w:val="19"/>
        <w:bidi w:val="0"/>
        <w:rPr>
          <w:rFonts w:hint="eastAsia"/>
          <w:sz w:val="48"/>
          <w:szCs w:val="48"/>
          <w:lang w:eastAsia="zh-CN"/>
        </w:rPr>
      </w:pPr>
      <w:r>
        <w:rPr>
          <w:rFonts w:hint="eastAsia"/>
          <w:sz w:val="48"/>
          <w:szCs w:val="48"/>
          <w:lang w:eastAsia="zh-CN"/>
        </w:rPr>
        <w:t>磷石膏流态固化土工程应用技术规范</w:t>
      </w:r>
    </w:p>
    <w:p>
      <w:pPr>
        <w:spacing w:before="130" w:line="543" w:lineRule="exact"/>
        <w:ind w:left="176"/>
        <w:rPr>
          <w:rFonts w:hint="eastAsia" w:ascii="黑体" w:hAnsi="黑体" w:eastAsia="黑体" w:cs="黑体"/>
          <w:b/>
          <w:bCs/>
          <w:snapToGrid/>
          <w:color w:val="auto"/>
          <w:w w:val="135"/>
          <w:kern w:val="0"/>
          <w:sz w:val="36"/>
          <w:szCs w:val="36"/>
          <w:lang w:val="en-US" w:eastAsia="zh-CN" w:bidi="ar-SA"/>
        </w:rPr>
      </w:pPr>
    </w:p>
    <w:p>
      <w:pPr>
        <w:pStyle w:val="3"/>
        <w:spacing w:line="246" w:lineRule="auto"/>
      </w:pPr>
    </w:p>
    <w:p>
      <w:pPr>
        <w:pStyle w:val="3"/>
        <w:spacing w:line="246" w:lineRule="auto"/>
      </w:pPr>
    </w:p>
    <w:p>
      <w:pPr>
        <w:pStyle w:val="3"/>
        <w:spacing w:line="247" w:lineRule="auto"/>
      </w:pPr>
    </w:p>
    <w:p>
      <w:pPr>
        <w:pStyle w:val="3"/>
        <w:spacing w:line="247" w:lineRule="auto"/>
      </w:pPr>
    </w:p>
    <w:p>
      <w:pPr>
        <w:pStyle w:val="3"/>
        <w:spacing w:line="247" w:lineRule="auto"/>
      </w:pPr>
    </w:p>
    <w:p>
      <w:pPr>
        <w:spacing w:before="230" w:line="936" w:lineRule="exact"/>
        <w:ind w:left="2754"/>
        <w:rPr>
          <w:rFonts w:ascii="黑体" w:hAnsi="黑体" w:eastAsia="黑体" w:cs="黑体"/>
          <w:sz w:val="71"/>
          <w:szCs w:val="71"/>
        </w:rPr>
      </w:pPr>
      <w:r>
        <w:rPr>
          <w:rFonts w:ascii="黑体" w:hAnsi="黑体" w:eastAsia="黑体" w:cs="黑体"/>
          <w:spacing w:val="2"/>
          <w:position w:val="3"/>
          <w:sz w:val="71"/>
          <w:szCs w:val="71"/>
        </w:rPr>
        <w:t>编制说明</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rPr>
          <w:rFonts w:hint="eastAsia" w:ascii="微软雅黑" w:hAnsi="微软雅黑" w:eastAsia="微软雅黑" w:cs="微软雅黑"/>
          <w:sz w:val="35"/>
          <w:szCs w:val="35"/>
          <w:lang w:eastAsia="zh-CN"/>
        </w:rPr>
      </w:pPr>
      <w:r>
        <w:rPr>
          <w:rFonts w:hint="eastAsia" w:ascii="微软雅黑" w:hAnsi="微软雅黑" w:eastAsia="微软雅黑" w:cs="微软雅黑"/>
          <w:b/>
          <w:bCs/>
          <w:spacing w:val="14"/>
          <w:sz w:val="35"/>
          <w:szCs w:val="35"/>
          <w:lang w:eastAsia="zh-CN"/>
        </w:rPr>
        <w:t>(</w:t>
      </w:r>
      <w:r>
        <w:rPr>
          <w:rFonts w:ascii="微软雅黑" w:hAnsi="微软雅黑" w:eastAsia="微软雅黑" w:cs="微软雅黑"/>
          <w:b/>
          <w:bCs/>
          <w:spacing w:val="14"/>
          <w:sz w:val="35"/>
          <w:szCs w:val="35"/>
        </w:rPr>
        <w:t>征求意见</w:t>
      </w:r>
      <w:r>
        <w:rPr>
          <w:rFonts w:hint="eastAsia" w:ascii="微软雅黑" w:hAnsi="微软雅黑" w:eastAsia="微软雅黑" w:cs="微软雅黑"/>
          <w:b/>
          <w:bCs/>
          <w:spacing w:val="14"/>
          <w:sz w:val="35"/>
          <w:szCs w:val="35"/>
          <w:lang w:val="en-US" w:eastAsia="zh-CN"/>
        </w:rPr>
        <w:t>稿</w:t>
      </w:r>
      <w:r>
        <w:rPr>
          <w:rFonts w:hint="eastAsia" w:ascii="微软雅黑" w:hAnsi="微软雅黑" w:eastAsia="微软雅黑" w:cs="微软雅黑"/>
          <w:b/>
          <w:bCs/>
          <w:spacing w:val="14"/>
          <w:sz w:val="35"/>
          <w:szCs w:val="35"/>
          <w:lang w:eastAsia="zh-CN"/>
        </w:rPr>
        <w:t>)</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keepNext w:val="0"/>
        <w:keepLines w:val="0"/>
        <w:pageBreakBefore w:val="0"/>
        <w:widowControl w:val="0"/>
        <w:kinsoku w:val="0"/>
        <w:wordWrap/>
        <w:overflowPunct/>
        <w:topLinePunct w:val="0"/>
        <w:autoSpaceDE w:val="0"/>
        <w:autoSpaceDN w:val="0"/>
        <w:bidi w:val="0"/>
        <w:adjustRightInd/>
        <w:snapToGrid/>
        <w:spacing w:line="360" w:lineRule="auto"/>
        <w:ind w:left="0" w:leftChars="0" w:right="0" w:rightChars="0" w:hanging="5" w:firstLineChars="0"/>
        <w:jc w:val="center"/>
        <w:textAlignment w:val="baseline"/>
        <w:rPr>
          <w:rFonts w:hint="eastAsia" w:ascii="微软雅黑" w:hAnsi="微软雅黑" w:eastAsia="微软雅黑" w:cs="微软雅黑"/>
          <w:b/>
          <w:bCs/>
          <w:spacing w:val="14"/>
          <w:sz w:val="35"/>
          <w:szCs w:val="35"/>
          <w:lang w:val="en-US" w:eastAsia="zh-CN"/>
        </w:rPr>
      </w:pPr>
      <w:r>
        <w:rPr>
          <w:rFonts w:ascii="微软雅黑" w:hAnsi="微软雅黑" w:eastAsia="微软雅黑" w:cs="微软雅黑"/>
          <w:b/>
          <w:bCs/>
          <w:spacing w:val="14"/>
          <w:sz w:val="35"/>
          <w:szCs w:val="35"/>
        </w:rPr>
        <w:t>标准起草小</w:t>
      </w:r>
      <w:r>
        <w:rPr>
          <w:rFonts w:hint="eastAsia" w:ascii="微软雅黑" w:hAnsi="微软雅黑" w:eastAsia="微软雅黑" w:cs="微软雅黑"/>
          <w:b/>
          <w:bCs/>
          <w:spacing w:val="14"/>
          <w:sz w:val="35"/>
          <w:szCs w:val="35"/>
          <w:lang w:val="en-US" w:eastAsia="zh-CN"/>
        </w:rPr>
        <w:t>组</w:t>
      </w:r>
    </w:p>
    <w:p>
      <w:pPr>
        <w:keepNext w:val="0"/>
        <w:keepLines w:val="0"/>
        <w:pageBreakBefore w:val="0"/>
        <w:widowControl w:val="0"/>
        <w:kinsoku w:val="0"/>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ascii="微软雅黑" w:hAnsi="微软雅黑" w:eastAsia="微软雅黑" w:cs="微软雅黑"/>
          <w:sz w:val="30"/>
          <w:szCs w:val="30"/>
        </w:rPr>
      </w:pPr>
      <w:r>
        <w:rPr>
          <w:rFonts w:ascii="Times New Roman" w:hAnsi="Times New Roman" w:eastAsia="Times New Roman" w:cs="Times New Roman"/>
          <w:b/>
          <w:bCs/>
          <w:spacing w:val="-5"/>
          <w:sz w:val="30"/>
          <w:szCs w:val="30"/>
        </w:rPr>
        <w:t>2024</w:t>
      </w:r>
      <w:r>
        <w:rPr>
          <w:rFonts w:ascii="微软雅黑" w:hAnsi="微软雅黑" w:eastAsia="微软雅黑" w:cs="微软雅黑"/>
          <w:b/>
          <w:bCs/>
          <w:spacing w:val="-5"/>
          <w:sz w:val="30"/>
          <w:szCs w:val="30"/>
        </w:rPr>
        <w:t>年</w:t>
      </w:r>
      <w:r>
        <w:rPr>
          <w:rFonts w:hint="eastAsia" w:ascii="Times New Roman" w:hAnsi="Times New Roman" w:eastAsia="宋体" w:cs="Times New Roman"/>
          <w:b/>
          <w:bCs/>
          <w:spacing w:val="-5"/>
          <w:sz w:val="30"/>
          <w:szCs w:val="30"/>
          <w:lang w:val="en-US" w:eastAsia="zh-CN"/>
        </w:rPr>
        <w:t>8</w:t>
      </w:r>
      <w:r>
        <w:rPr>
          <w:rFonts w:ascii="微软雅黑" w:hAnsi="微软雅黑" w:eastAsia="微软雅黑" w:cs="微软雅黑"/>
          <w:b/>
          <w:bCs/>
          <w:spacing w:val="-5"/>
          <w:sz w:val="30"/>
          <w:szCs w:val="30"/>
        </w:rPr>
        <w:t>月</w:t>
      </w:r>
    </w:p>
    <w:p>
      <w:pPr>
        <w:spacing w:line="288" w:lineRule="auto"/>
        <w:rPr>
          <w:rFonts w:ascii="微软雅黑" w:hAnsi="微软雅黑" w:eastAsia="微软雅黑" w:cs="微软雅黑"/>
          <w:sz w:val="30"/>
          <w:szCs w:val="30"/>
        </w:rPr>
        <w:sectPr>
          <w:footerReference r:id="rId3" w:type="default"/>
          <w:pgSz w:w="11906" w:h="16839"/>
          <w:pgMar w:top="1440" w:right="1803" w:bottom="1440" w:left="1803" w:header="0" w:footer="0"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黑体" w:hAnsi="黑体" w:eastAsia="黑体" w:cs="黑体"/>
          <w:b/>
          <w:bCs/>
          <w:spacing w:val="-5"/>
          <w:position w:val="2"/>
          <w:sz w:val="30"/>
          <w:szCs w:val="30"/>
        </w:rPr>
      </w:pPr>
      <w:r>
        <w:rPr>
          <w:rFonts w:hint="eastAsia" w:ascii="黑体" w:hAnsi="黑体" w:eastAsia="黑体" w:cs="黑体"/>
          <w:b/>
          <w:bCs/>
          <w:spacing w:val="-5"/>
          <w:position w:val="2"/>
          <w:sz w:val="30"/>
          <w:szCs w:val="30"/>
        </w:rPr>
        <w:t>《</w:t>
      </w:r>
      <w:r>
        <w:rPr>
          <w:rFonts w:hint="eastAsia" w:ascii="黑体" w:hAnsi="黑体" w:eastAsia="黑体" w:cs="黑体"/>
          <w:b/>
          <w:bCs/>
          <w:snapToGrid/>
          <w:color w:val="auto"/>
          <w:w w:val="135"/>
          <w:kern w:val="0"/>
          <w:sz w:val="30"/>
          <w:szCs w:val="30"/>
          <w:lang w:val="en-US" w:eastAsia="zh-CN" w:bidi="ar-SA"/>
        </w:rPr>
        <w:t>预拌磷石膏流态固化土生产技术规程</w:t>
      </w:r>
      <w:r>
        <w:rPr>
          <w:rFonts w:hint="eastAsia" w:ascii="黑体" w:hAnsi="黑体" w:eastAsia="黑体" w:cs="黑体"/>
          <w:b/>
          <w:bCs/>
          <w:spacing w:val="-5"/>
          <w:position w:val="2"/>
          <w:sz w:val="30"/>
          <w:szCs w:val="30"/>
        </w:rPr>
        <w:t>》</w:t>
      </w:r>
    </w:p>
    <w:p>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hint="eastAsia" w:ascii="黑体" w:hAnsi="黑体" w:eastAsia="黑体" w:cs="黑体"/>
          <w:b/>
          <w:bCs/>
          <w:snapToGrid/>
          <w:color w:val="auto"/>
          <w:w w:val="135"/>
          <w:kern w:val="0"/>
          <w:sz w:val="30"/>
          <w:szCs w:val="30"/>
          <w:lang w:val="en-US" w:eastAsia="zh-CN" w:bidi="ar-SA"/>
        </w:rPr>
      </w:pPr>
      <w:r>
        <w:rPr>
          <w:rFonts w:hint="eastAsia" w:ascii="黑体" w:hAnsi="黑体" w:eastAsia="黑体" w:cs="黑体"/>
          <w:b/>
          <w:bCs/>
          <w:snapToGrid/>
          <w:color w:val="auto"/>
          <w:w w:val="135"/>
          <w:kern w:val="0"/>
          <w:sz w:val="30"/>
          <w:szCs w:val="30"/>
          <w:lang w:val="en-US" w:eastAsia="zh-CN" w:bidi="ar-SA"/>
        </w:rPr>
        <w:t>地方标准编制说明</w:t>
      </w:r>
    </w:p>
    <w:p>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黑体" w:hAnsi="黑体" w:eastAsia="黑体" w:cs="黑体"/>
          <w:sz w:val="30"/>
          <w:szCs w:val="30"/>
          <w:lang w:eastAsia="zh-CN"/>
        </w:rPr>
      </w:pPr>
      <w:r>
        <w:rPr>
          <w:rFonts w:hint="eastAsia" w:ascii="黑体" w:hAnsi="黑体" w:eastAsia="黑体" w:cs="黑体"/>
          <w:b/>
          <w:bCs/>
          <w:spacing w:val="-3"/>
          <w:position w:val="2"/>
          <w:sz w:val="30"/>
          <w:szCs w:val="30"/>
          <w:lang w:eastAsia="zh-CN"/>
        </w:rPr>
        <w:t>(</w:t>
      </w:r>
      <w:r>
        <w:rPr>
          <w:rFonts w:hint="eastAsia" w:ascii="黑体" w:hAnsi="黑体" w:eastAsia="黑体" w:cs="黑体"/>
          <w:b/>
          <w:bCs/>
          <w:spacing w:val="-3"/>
          <w:position w:val="2"/>
          <w:sz w:val="30"/>
          <w:szCs w:val="30"/>
        </w:rPr>
        <w:t>征求意见</w:t>
      </w:r>
      <w:r>
        <w:rPr>
          <w:rFonts w:hint="eastAsia" w:ascii="黑体" w:hAnsi="黑体" w:eastAsia="黑体" w:cs="黑体"/>
          <w:b/>
          <w:bCs/>
          <w:spacing w:val="-3"/>
          <w:position w:val="2"/>
          <w:sz w:val="30"/>
          <w:szCs w:val="30"/>
          <w:lang w:val="en-US" w:eastAsia="zh-CN"/>
        </w:rPr>
        <w:t>阶段</w:t>
      </w:r>
      <w:r>
        <w:rPr>
          <w:rFonts w:hint="eastAsia" w:ascii="黑体" w:hAnsi="黑体" w:eastAsia="黑体" w:cs="黑体"/>
          <w:b/>
          <w:bCs/>
          <w:spacing w:val="-3"/>
          <w:position w:val="2"/>
          <w:sz w:val="30"/>
          <w:szCs w:val="30"/>
          <w:lang w:eastAsia="zh-CN"/>
        </w:rPr>
        <w:t>)</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ascii="黑体" w:hAnsi="黑体" w:eastAsia="黑体" w:cs="黑体"/>
          <w:sz w:val="32"/>
          <w:szCs w:val="32"/>
        </w:rPr>
      </w:pPr>
      <w:r>
        <w:rPr>
          <w:rFonts w:hint="eastAsia" w:ascii="黑体" w:hAnsi="黑体" w:eastAsia="黑体" w:cs="黑体"/>
          <w:spacing w:val="3"/>
          <w:sz w:val="32"/>
          <w:szCs w:val="32"/>
          <w:lang w:val="en-US" w:eastAsia="zh-CN"/>
        </w:rPr>
        <w:t>1.</w:t>
      </w:r>
      <w:r>
        <w:rPr>
          <w:rFonts w:ascii="黑体" w:hAnsi="黑体" w:eastAsia="黑体" w:cs="黑体"/>
          <w:spacing w:val="3"/>
          <w:sz w:val="32"/>
          <w:szCs w:val="32"/>
        </w:rPr>
        <w:t>工作简况</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z w:val="30"/>
          <w:szCs w:val="30"/>
        </w:rPr>
      </w:pPr>
      <w:r>
        <w:rPr>
          <w:rFonts w:hint="eastAsia" w:ascii="黑体" w:hAnsi="黑体" w:eastAsia="黑体" w:cs="黑体"/>
          <w:spacing w:val="11"/>
          <w:sz w:val="30"/>
          <w:szCs w:val="30"/>
          <w:lang w:val="en-US" w:eastAsia="zh-CN"/>
        </w:rPr>
        <w:t>1.1</w:t>
      </w:r>
      <w:r>
        <w:rPr>
          <w:rFonts w:hint="eastAsia" w:ascii="黑体" w:hAnsi="黑体" w:eastAsia="黑体" w:cs="黑体"/>
          <w:spacing w:val="11"/>
          <w:sz w:val="30"/>
          <w:szCs w:val="30"/>
        </w:rPr>
        <w:t>任务来源</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随着全球环境问题的日益严峻和可持续发展理念的深入人心，环保法规的严格程度不断升级，对资源循环再利用的呼声也日益高涨。在这样的大背景下，如何高效、环保地利用工业副产品和建筑固废，特别是那些具有潜在污染风险的物质，成为了当前科技研发与工程实践的重要课题。磷石膏(作为磷肥生产过程中的主要副产品)与建筑固废的大量堆积不仅占用了宝贵的土地资源，还可能对环境造成潜在威胁。</w:t>
      </w:r>
    </w:p>
    <w:p>
      <w:pPr>
        <w:keepNext w:val="0"/>
        <w:keepLines w:val="0"/>
        <w:pageBreakBefore w:val="0"/>
        <w:overflowPunct/>
        <w:bidi w:val="0"/>
        <w:adjustRightInd/>
        <w:snapToGrid/>
        <w:spacing w:line="360" w:lineRule="auto"/>
        <w:ind w:firstLine="608" w:firstLineChars="200"/>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2016年以来，国家越来越重视大宗固体废弃物综合利用问题，相继出台了更加全面、细致的政策。国务院“十三五”规划中，明确提出要推动磷石膏等产业废弃物的综合利用，工信部与财政部也相继出台指导意见和增值税优惠目录，随后又颁布了新《环保法》和《中华人民共和国环境保护税法》，为磷石膏的综合利用提供政策支持和法律保障。</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2021年3月，国家发改委发布了《关于“十四五”大宗固体废弃物综合利用的指导意见》，意见中表示，在“十四五”期间要继续推广磷石膏在生产水泥和新型建筑材料等领域的利用，并在此基础上探索新的磷石膏利用途径，研发具有高附加值的磷石膏制品。提高磷石膏的利用率，要求到2025年新增大宗固废综合利用率达到60%，大宗固废的存量有序减少，并且要强化法律保障、完善政策支持、加强组织协调，保障我国大宗固废治理能力继续提升。</w:t>
      </w:r>
    </w:p>
    <w:p>
      <w:pPr>
        <w:keepNext w:val="0"/>
        <w:keepLines w:val="0"/>
        <w:pageBreakBefore w:val="0"/>
        <w:overflowPunct/>
        <w:bidi w:val="0"/>
        <w:adjustRightInd/>
        <w:snapToGrid/>
        <w:spacing w:line="360" w:lineRule="auto"/>
        <w:ind w:firstLine="608" w:firstLineChars="200"/>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我省是国内重要的磷矿资源地之一，也是磷化工产业的重要基地。党的十八大以来，全省上下深入学习贯彻习近平生态文明思想，认真贯彻落实《中华人民共和国环境保护法》《中华人民共和国固体废物污染环境防治法》，大力推进磷石膏综合利用率不断提高。四川省经济和信息化厅采取定期调度、调研督促、资金支持等多种形式积极推动磷石膏综合利用项目建设和磷石膏消纳利用。省内主要磷石膏产地(德阳、达州、凉山)政府部门出台了相应配套资金和支持政策。相关企业按照“以消定产”原则安排生产，磷酸、磷肥产能并未完全释放。</w:t>
      </w:r>
    </w:p>
    <w:p>
      <w:pPr>
        <w:keepNext w:val="0"/>
        <w:keepLines w:val="0"/>
        <w:pageBreakBefore w:val="0"/>
        <w:overflowPunct/>
        <w:bidi w:val="0"/>
        <w:adjustRightInd/>
        <w:snapToGrid/>
        <w:spacing w:line="360" w:lineRule="auto"/>
        <w:ind w:firstLine="608" w:firstLineChars="200"/>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另据报道：我国城市单一品种排放数量最大的固体废物，建筑垃圾资源化处理程度并不高，利用率极其有限。我国建筑固废的排放量仍处于逐年上升的态势。据住房城乡建设部提供的测算数据，目前我国城市建筑固废年排放量超过20亿吨，约占城市固体废物总量的40%。如此大体量的建筑固废如果不及时处理和再利用，必将给社会、环境和资源带来不利影响。由此可见，建筑再生骨料量大面广、环境影响突出、利用前景广阔，是资源综合利用的核心领域。快速推进大宗固废综合利用对提高资源利用效率、改善环境质量、促进经济社会发展全面绿色转型刻不容缓。</w:t>
      </w:r>
    </w:p>
    <w:p>
      <w:pPr>
        <w:keepNext w:val="0"/>
        <w:keepLines w:val="0"/>
        <w:pageBreakBefore w:val="0"/>
        <w:widowControl w:val="0"/>
        <w:suppressLineNumbers w:val="0"/>
        <w:kinsoku w:val="0"/>
        <w:wordWrap/>
        <w:overflowPunct/>
        <w:topLinePunct/>
        <w:autoSpaceDE/>
        <w:autoSpaceDN/>
        <w:bidi w:val="0"/>
        <w:adjustRightInd/>
        <w:snapToGrid/>
        <w:spacing w:line="360" w:lineRule="auto"/>
        <w:ind w:left="0" w:right="0" w:firstLine="608" w:firstLineChars="200"/>
        <w:jc w:val="left"/>
        <w:textAlignment w:val="baseline"/>
        <w:rPr>
          <w:rFonts w:hint="eastAsia" w:ascii="仿宋_GB2312" w:hAnsi="仿宋_GB2312" w:eastAsia="仿宋_GB2312" w:cs="仿宋_GB2312"/>
          <w:snapToGrid w:val="0"/>
          <w:color w:val="000000"/>
          <w:kern w:val="0"/>
          <w:sz w:val="30"/>
          <w:szCs w:val="30"/>
          <w:lang w:val="en-US" w:eastAsia="zh-CN" w:bidi="ar"/>
        </w:rPr>
      </w:pPr>
      <w:r>
        <w:rPr>
          <w:rFonts w:hint="eastAsia" w:ascii="仿宋_GB2312" w:hAnsi="仿宋_GB2312" w:eastAsia="仿宋_GB2312" w:cs="仿宋_GB2312"/>
          <w:color w:val="auto"/>
          <w:spacing w:val="2"/>
          <w:sz w:val="30"/>
          <w:szCs w:val="30"/>
          <w:lang w:val="en-US" w:eastAsia="zh-CN"/>
        </w:rPr>
        <w:t>近年来，我市为深入贯彻习近平生态文明思想，落实党中央、国务院关于固体废物减量化、资源化、无害化处理和构建废弃物循环利用体系的决策部署，先后出台了《达州市鼓励支持磷石膏综合利用十条政策措施》(达市府办函〔2020〕19号)、《达州市进一步加快推进磷石膏综合利用措施》(达市府办发〔2021〕10号)、《达州市推动磷石膏综合利用实施方案》，以此来</w:t>
      </w:r>
      <w:r>
        <w:rPr>
          <w:rFonts w:hint="eastAsia" w:ascii="仿宋_GB2312" w:hAnsi="仿宋_GB2312" w:eastAsia="仿宋_GB2312" w:cs="仿宋_GB2312"/>
          <w:color w:val="auto"/>
          <w:spacing w:val="2"/>
          <w:kern w:val="0"/>
          <w:sz w:val="30"/>
          <w:szCs w:val="30"/>
          <w:lang w:val="en-US" w:eastAsia="zh-CN" w:bidi="ar"/>
        </w:rPr>
        <w:t>加快形成完整的磷石膏及磷化工产业链，实现磷石膏消纳</w:t>
      </w:r>
      <w:r>
        <w:rPr>
          <w:rFonts w:hint="eastAsia" w:ascii="仿宋_GB2312" w:hAnsi="仿宋_GB2312" w:eastAsia="仿宋_GB2312" w:cs="仿宋_GB2312"/>
          <w:color w:val="auto"/>
          <w:spacing w:val="2"/>
          <w:sz w:val="30"/>
          <w:szCs w:val="30"/>
          <w:lang w:val="en-US" w:eastAsia="zh-CN"/>
        </w:rPr>
        <w:t>产业化。达州市本土企业、科研院所积极投入磷石综合利用研发。2024年，我市就磷石膏综合研发方向的地方标准制定、修订立项达4项之多。</w:t>
      </w:r>
      <w:r>
        <w:rPr>
          <w:rFonts w:hint="eastAsia" w:ascii="仿宋_GB2312" w:hAnsi="仿宋_GB2312" w:eastAsia="仿宋_GB2312" w:cs="仿宋_GB2312"/>
          <w:spacing w:val="1"/>
          <w:sz w:val="30"/>
          <w:szCs w:val="30"/>
          <w:lang w:val="en-US" w:eastAsia="zh-CN"/>
        </w:rPr>
        <w:t>其中</w:t>
      </w:r>
      <w:r>
        <w:rPr>
          <w:rFonts w:hint="eastAsia" w:ascii="仿宋_GB2312" w:hAnsi="仿宋_GB2312" w:eastAsia="仿宋_GB2312" w:cs="仿宋_GB2312"/>
          <w:snapToGrid w:val="0"/>
          <w:color w:val="000000"/>
          <w:kern w:val="0"/>
          <w:sz w:val="30"/>
          <w:szCs w:val="30"/>
          <w:lang w:val="en-US" w:eastAsia="zh-CN" w:bidi="ar"/>
        </w:rPr>
        <w:t>《磷石膏流态固化土工程应用技术规范》为2024年度四川省(达州市)地方标准制修订项目立项计划之一。</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1.2目的和意义</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磷石膏流态固化土技术是一种创新的</w:t>
      </w:r>
      <w:r>
        <w:rPr>
          <w:rFonts w:hint="eastAsia" w:ascii="仿宋_GB2312" w:hAnsi="仿宋_GB2312" w:eastAsia="仿宋_GB2312" w:cs="仿宋_GB2312"/>
          <w:color w:val="auto"/>
          <w:spacing w:val="2"/>
          <w:sz w:val="30"/>
          <w:szCs w:val="30"/>
          <w:lang w:val="en-US" w:eastAsia="zh-CN"/>
        </w:rPr>
        <w:t>新型</w:t>
      </w:r>
      <w:r>
        <w:rPr>
          <w:rFonts w:hint="default" w:ascii="仿宋_GB2312" w:hAnsi="仿宋_GB2312" w:eastAsia="仿宋_GB2312" w:cs="仿宋_GB2312"/>
          <w:color w:val="auto"/>
          <w:spacing w:val="2"/>
          <w:sz w:val="30"/>
          <w:szCs w:val="30"/>
          <w:lang w:val="en-US" w:eastAsia="zh-CN"/>
        </w:rPr>
        <w:t>建材</w:t>
      </w:r>
      <w:r>
        <w:rPr>
          <w:rFonts w:hint="eastAsia" w:ascii="仿宋_GB2312" w:hAnsi="仿宋_GB2312" w:eastAsia="仿宋_GB2312" w:cs="仿宋_GB2312"/>
          <w:color w:val="auto"/>
          <w:spacing w:val="2"/>
          <w:sz w:val="30"/>
          <w:szCs w:val="30"/>
          <w:lang w:val="en-US" w:eastAsia="zh-CN"/>
        </w:rPr>
        <w:t>研发</w:t>
      </w:r>
      <w:r>
        <w:rPr>
          <w:rFonts w:hint="default" w:ascii="仿宋_GB2312" w:hAnsi="仿宋_GB2312" w:eastAsia="仿宋_GB2312" w:cs="仿宋_GB2312"/>
          <w:color w:val="auto"/>
          <w:spacing w:val="2"/>
          <w:sz w:val="30"/>
          <w:szCs w:val="30"/>
          <w:lang w:val="en-US" w:eastAsia="zh-CN"/>
        </w:rPr>
        <w:t>技术，其</w:t>
      </w:r>
      <w:r>
        <w:rPr>
          <w:rFonts w:hint="eastAsia" w:ascii="仿宋_GB2312" w:hAnsi="仿宋_GB2312" w:eastAsia="仿宋_GB2312" w:cs="仿宋_GB2312"/>
          <w:color w:val="auto"/>
          <w:spacing w:val="2"/>
          <w:sz w:val="30"/>
          <w:szCs w:val="30"/>
          <w:lang w:val="en-US" w:eastAsia="zh-CN"/>
        </w:rPr>
        <w:t>主要</w:t>
      </w:r>
      <w:r>
        <w:rPr>
          <w:rFonts w:hint="default" w:ascii="仿宋_GB2312" w:hAnsi="仿宋_GB2312" w:eastAsia="仿宋_GB2312" w:cs="仿宋_GB2312"/>
          <w:color w:val="auto"/>
          <w:spacing w:val="2"/>
          <w:sz w:val="30"/>
          <w:szCs w:val="30"/>
          <w:lang w:val="en-US" w:eastAsia="zh-CN"/>
        </w:rPr>
        <w:t>核心在于</w:t>
      </w:r>
      <w:r>
        <w:rPr>
          <w:rFonts w:hint="eastAsia" w:ascii="仿宋_GB2312" w:hAnsi="仿宋_GB2312" w:eastAsia="仿宋_GB2312" w:cs="仿宋_GB2312"/>
          <w:color w:val="auto"/>
          <w:spacing w:val="2"/>
          <w:sz w:val="30"/>
          <w:szCs w:val="30"/>
          <w:lang w:val="en-US" w:eastAsia="zh-CN"/>
        </w:rPr>
        <w:t>能</w:t>
      </w:r>
      <w:r>
        <w:rPr>
          <w:rFonts w:hint="default" w:ascii="仿宋_GB2312" w:hAnsi="仿宋_GB2312" w:eastAsia="仿宋_GB2312" w:cs="仿宋_GB2312"/>
          <w:color w:val="auto"/>
          <w:spacing w:val="2"/>
          <w:sz w:val="30"/>
          <w:szCs w:val="30"/>
          <w:lang w:val="en-US" w:eastAsia="zh-CN"/>
        </w:rPr>
        <w:t>将磷石膏与建筑固废作为主要原料，</w:t>
      </w:r>
      <w:r>
        <w:rPr>
          <w:rFonts w:hint="eastAsia" w:ascii="仿宋_GB2312" w:hAnsi="仿宋_GB2312" w:eastAsia="仿宋_GB2312" w:cs="仿宋_GB2312"/>
          <w:color w:val="auto"/>
          <w:spacing w:val="2"/>
          <w:sz w:val="30"/>
          <w:szCs w:val="30"/>
          <w:lang w:val="en-US" w:eastAsia="zh-CN"/>
        </w:rPr>
        <w:t>并</w:t>
      </w:r>
      <w:r>
        <w:rPr>
          <w:rFonts w:hint="default" w:ascii="仿宋_GB2312" w:hAnsi="仿宋_GB2312" w:eastAsia="仿宋_GB2312" w:cs="仿宋_GB2312"/>
          <w:color w:val="auto"/>
          <w:spacing w:val="2"/>
          <w:sz w:val="30"/>
          <w:szCs w:val="30"/>
          <w:lang w:val="en-US" w:eastAsia="zh-CN"/>
        </w:rPr>
        <w:t>通过</w:t>
      </w:r>
      <w:r>
        <w:rPr>
          <w:rFonts w:hint="eastAsia" w:ascii="仿宋_GB2312" w:hAnsi="仿宋_GB2312" w:eastAsia="仿宋_GB2312" w:cs="仿宋_GB2312"/>
          <w:color w:val="auto"/>
          <w:spacing w:val="2"/>
          <w:sz w:val="30"/>
          <w:szCs w:val="30"/>
          <w:lang w:val="en-US" w:eastAsia="zh-CN"/>
        </w:rPr>
        <w:t>与</w:t>
      </w:r>
      <w:r>
        <w:rPr>
          <w:rFonts w:hint="default" w:ascii="仿宋_GB2312" w:hAnsi="仿宋_GB2312" w:eastAsia="仿宋_GB2312" w:cs="仿宋_GB2312"/>
          <w:color w:val="auto"/>
          <w:spacing w:val="2"/>
          <w:sz w:val="30"/>
          <w:szCs w:val="30"/>
          <w:lang w:val="en-US" w:eastAsia="zh-CN"/>
        </w:rPr>
        <w:t>固化剂</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特定</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、水泥、水和其他可能的附加材料，经过精细的配合比设计和先进的</w:t>
      </w:r>
      <w:r>
        <w:rPr>
          <w:rFonts w:hint="eastAsia" w:ascii="仿宋_GB2312" w:hAnsi="仿宋_GB2312" w:eastAsia="仿宋_GB2312" w:cs="仿宋_GB2312"/>
          <w:color w:val="auto"/>
          <w:spacing w:val="2"/>
          <w:sz w:val="30"/>
          <w:szCs w:val="30"/>
          <w:lang w:val="en-US" w:eastAsia="zh-CN"/>
        </w:rPr>
        <w:t>集中</w:t>
      </w:r>
      <w:r>
        <w:rPr>
          <w:rFonts w:hint="default" w:ascii="仿宋_GB2312" w:hAnsi="仿宋_GB2312" w:eastAsia="仿宋_GB2312" w:cs="仿宋_GB2312"/>
          <w:color w:val="auto"/>
          <w:spacing w:val="2"/>
          <w:sz w:val="30"/>
          <w:szCs w:val="30"/>
          <w:lang w:val="en-US" w:eastAsia="zh-CN"/>
        </w:rPr>
        <w:t>拌</w:t>
      </w:r>
      <w:r>
        <w:rPr>
          <w:rFonts w:hint="eastAsia" w:ascii="仿宋_GB2312" w:hAnsi="仿宋_GB2312" w:eastAsia="仿宋_GB2312" w:cs="仿宋_GB2312"/>
          <w:color w:val="auto"/>
          <w:spacing w:val="2"/>
          <w:sz w:val="30"/>
          <w:szCs w:val="30"/>
          <w:lang w:val="en-US" w:eastAsia="zh-CN"/>
        </w:rPr>
        <w:t>合</w:t>
      </w:r>
      <w:r>
        <w:rPr>
          <w:rFonts w:hint="default" w:ascii="仿宋_GB2312" w:hAnsi="仿宋_GB2312" w:eastAsia="仿宋_GB2312" w:cs="仿宋_GB2312"/>
          <w:color w:val="auto"/>
          <w:spacing w:val="2"/>
          <w:sz w:val="30"/>
          <w:szCs w:val="30"/>
          <w:lang w:val="en-US" w:eastAsia="zh-CN"/>
        </w:rPr>
        <w:t>工艺，使原本松散的磷石膏、建筑固废转变为具备高度流动性、可施工性的流态固化土。这种技术不仅解决了磷石膏和建筑固废的堆存和污染问题，还为其在建筑工程中的应用开辟了新的途径，更有效地推进“无废城市”的建设与发展。</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磷石膏流态固化土技术充分利用了化学和物理作用，通过固化剂与磷石膏中的游离磷酸、氟化物、重金属离子等物质反应，生成难溶于水的稳定络合物。根据磷石膏流态固化土的理化学性能</w:t>
      </w:r>
      <w:r>
        <w:rPr>
          <w:rFonts w:hint="eastAsia" w:ascii="仿宋_GB2312" w:hAnsi="仿宋_GB2312" w:eastAsia="仿宋_GB2312" w:cs="仿宋_GB2312"/>
          <w:color w:val="auto"/>
          <w:spacing w:val="2"/>
          <w:sz w:val="30"/>
          <w:szCs w:val="30"/>
          <w:lang w:val="en-US" w:eastAsia="zh-CN"/>
        </w:rPr>
        <w:t>、力学性能</w:t>
      </w:r>
      <w:r>
        <w:rPr>
          <w:rFonts w:hint="default" w:ascii="仿宋_GB2312" w:hAnsi="仿宋_GB2312" w:eastAsia="仿宋_GB2312" w:cs="仿宋_GB2312"/>
          <w:color w:val="auto"/>
          <w:spacing w:val="2"/>
          <w:sz w:val="30"/>
          <w:szCs w:val="30"/>
          <w:lang w:val="en-US" w:eastAsia="zh-CN"/>
        </w:rPr>
        <w:t>、耐久性等指标确定</w:t>
      </w:r>
      <w:r>
        <w:rPr>
          <w:rFonts w:hint="eastAsia" w:ascii="仿宋_GB2312" w:hAnsi="仿宋_GB2312" w:eastAsia="仿宋_GB2312" w:cs="仿宋_GB2312"/>
          <w:color w:val="auto"/>
          <w:spacing w:val="2"/>
          <w:sz w:val="30"/>
          <w:szCs w:val="30"/>
          <w:lang w:val="en-US" w:eastAsia="zh-CN"/>
        </w:rPr>
        <w:t>了</w:t>
      </w:r>
      <w:r>
        <w:rPr>
          <w:rFonts w:hint="default" w:ascii="仿宋_GB2312" w:hAnsi="仿宋_GB2312" w:eastAsia="仿宋_GB2312" w:cs="仿宋_GB2312"/>
          <w:color w:val="auto"/>
          <w:spacing w:val="2"/>
          <w:sz w:val="30"/>
          <w:szCs w:val="30"/>
          <w:lang w:val="en-US" w:eastAsia="zh-CN"/>
        </w:rPr>
        <w:t>在不同工程特定的</w:t>
      </w:r>
      <w:r>
        <w:rPr>
          <w:rFonts w:hint="eastAsia" w:ascii="仿宋_GB2312" w:hAnsi="仿宋_GB2312" w:eastAsia="仿宋_GB2312" w:cs="仿宋_GB2312"/>
          <w:color w:val="auto"/>
          <w:spacing w:val="2"/>
          <w:sz w:val="30"/>
          <w:szCs w:val="30"/>
          <w:lang w:val="en-US" w:eastAsia="zh-CN"/>
        </w:rPr>
        <w:t>应用区域</w:t>
      </w:r>
      <w:r>
        <w:rPr>
          <w:rFonts w:hint="default" w:ascii="仿宋_GB2312" w:hAnsi="仿宋_GB2312" w:eastAsia="仿宋_GB2312" w:cs="仿宋_GB2312"/>
          <w:color w:val="auto"/>
          <w:spacing w:val="2"/>
          <w:sz w:val="30"/>
          <w:szCs w:val="30"/>
          <w:lang w:val="en-US" w:eastAsia="zh-CN"/>
        </w:rPr>
        <w:t>，</w:t>
      </w:r>
      <w:r>
        <w:rPr>
          <w:rFonts w:hint="eastAsia" w:ascii="仿宋_GB2312" w:hAnsi="仿宋_GB2312" w:eastAsia="仿宋_GB2312" w:cs="仿宋_GB2312"/>
          <w:color w:val="auto"/>
          <w:spacing w:val="2"/>
          <w:sz w:val="30"/>
          <w:szCs w:val="30"/>
          <w:lang w:val="en-US" w:eastAsia="zh-CN"/>
        </w:rPr>
        <w:t>指明了</w:t>
      </w:r>
      <w:r>
        <w:rPr>
          <w:rFonts w:hint="default" w:ascii="仿宋_GB2312" w:hAnsi="仿宋_GB2312" w:eastAsia="仿宋_GB2312" w:cs="仿宋_GB2312"/>
          <w:color w:val="auto"/>
          <w:spacing w:val="2"/>
          <w:sz w:val="30"/>
          <w:szCs w:val="30"/>
          <w:lang w:val="en-US" w:eastAsia="zh-CN"/>
        </w:rPr>
        <w:t>磷石膏流态固化土的</w:t>
      </w:r>
      <w:r>
        <w:rPr>
          <w:rFonts w:hint="eastAsia" w:ascii="仿宋_GB2312" w:hAnsi="仿宋_GB2312" w:eastAsia="仿宋_GB2312" w:cs="仿宋_GB2312"/>
          <w:color w:val="auto"/>
          <w:spacing w:val="2"/>
          <w:sz w:val="30"/>
          <w:szCs w:val="30"/>
          <w:lang w:val="en-US" w:eastAsia="zh-CN"/>
        </w:rPr>
        <w:t>不适用区域</w:t>
      </w:r>
      <w:r>
        <w:rPr>
          <w:rFonts w:hint="default" w:ascii="仿宋_GB2312" w:hAnsi="仿宋_GB2312" w:eastAsia="仿宋_GB2312" w:cs="仿宋_GB2312"/>
          <w:color w:val="auto"/>
          <w:spacing w:val="2"/>
          <w:sz w:val="30"/>
          <w:szCs w:val="30"/>
          <w:lang w:val="en-US" w:eastAsia="zh-CN"/>
        </w:rPr>
        <w:t>。</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磷石膏流态固化土这种新型建材不仅原材料来源广泛、成本低廉</w:t>
      </w:r>
      <w:r>
        <w:rPr>
          <w:rFonts w:hint="eastAsia" w:ascii="仿宋_GB2312" w:hAnsi="仿宋_GB2312" w:eastAsia="仿宋_GB2312" w:cs="仿宋_GB2312"/>
          <w:color w:val="auto"/>
          <w:spacing w:val="2"/>
          <w:sz w:val="30"/>
          <w:szCs w:val="30"/>
          <w:lang w:val="en-US" w:eastAsia="zh-CN"/>
        </w:rPr>
        <w:t>，而且</w:t>
      </w:r>
      <w:r>
        <w:rPr>
          <w:rFonts w:hint="default" w:ascii="仿宋_GB2312" w:hAnsi="仿宋_GB2312" w:eastAsia="仿宋_GB2312" w:cs="仿宋_GB2312"/>
          <w:color w:val="auto"/>
          <w:spacing w:val="2"/>
          <w:sz w:val="30"/>
          <w:szCs w:val="30"/>
          <w:lang w:val="en-US" w:eastAsia="zh-CN"/>
        </w:rPr>
        <w:t>具有可持续发展的</w:t>
      </w:r>
      <w:r>
        <w:rPr>
          <w:rFonts w:hint="eastAsia" w:ascii="仿宋_GB2312" w:hAnsi="仿宋_GB2312" w:eastAsia="仿宋_GB2312" w:cs="仿宋_GB2312"/>
          <w:color w:val="auto"/>
          <w:spacing w:val="2"/>
          <w:sz w:val="30"/>
          <w:szCs w:val="30"/>
          <w:lang w:val="en-US" w:eastAsia="zh-CN"/>
        </w:rPr>
        <w:t>，将</w:t>
      </w:r>
      <w:r>
        <w:rPr>
          <w:rFonts w:hint="default" w:ascii="仿宋_GB2312" w:hAnsi="仿宋_GB2312" w:eastAsia="仿宋_GB2312" w:cs="仿宋_GB2312"/>
          <w:color w:val="auto"/>
          <w:spacing w:val="2"/>
          <w:sz w:val="30"/>
          <w:szCs w:val="30"/>
          <w:lang w:val="en-US" w:eastAsia="zh-CN"/>
        </w:rPr>
        <w:t>在多个领域具有广阔的应用前景。</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国内</w:t>
      </w:r>
      <w:r>
        <w:rPr>
          <w:rFonts w:hint="eastAsia" w:ascii="仿宋_GB2312" w:hAnsi="仿宋_GB2312" w:eastAsia="仿宋_GB2312" w:cs="仿宋_GB2312"/>
          <w:color w:val="auto"/>
          <w:spacing w:val="2"/>
          <w:sz w:val="30"/>
          <w:szCs w:val="30"/>
          <w:lang w:val="en-US" w:eastAsia="zh-CN"/>
        </w:rPr>
        <w:t>外</w:t>
      </w:r>
      <w:r>
        <w:rPr>
          <w:rFonts w:hint="default" w:ascii="仿宋_GB2312" w:hAnsi="仿宋_GB2312" w:eastAsia="仿宋_GB2312" w:cs="仿宋_GB2312"/>
          <w:color w:val="auto"/>
          <w:spacing w:val="2"/>
          <w:sz w:val="30"/>
          <w:szCs w:val="30"/>
          <w:lang w:val="en-US" w:eastAsia="zh-CN"/>
        </w:rPr>
        <w:t>科研</w:t>
      </w:r>
      <w:r>
        <w:rPr>
          <w:rFonts w:hint="eastAsia" w:ascii="仿宋_GB2312" w:hAnsi="仿宋_GB2312" w:eastAsia="仿宋_GB2312" w:cs="仿宋_GB2312"/>
          <w:color w:val="auto"/>
          <w:spacing w:val="2"/>
          <w:sz w:val="30"/>
          <w:szCs w:val="30"/>
          <w:lang w:val="en-US" w:eastAsia="zh-CN"/>
        </w:rPr>
        <w:t>机构（</w:t>
      </w:r>
      <w:r>
        <w:rPr>
          <w:rFonts w:hint="default" w:ascii="仿宋_GB2312" w:hAnsi="仿宋_GB2312" w:eastAsia="仿宋_GB2312" w:cs="仿宋_GB2312"/>
          <w:color w:val="auto"/>
          <w:spacing w:val="2"/>
          <w:sz w:val="30"/>
          <w:szCs w:val="30"/>
          <w:lang w:val="en-US" w:eastAsia="zh-CN"/>
        </w:rPr>
        <w:t>院所</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对磷石膏的基础理论研究以及对磷石膏预处理后进行综合利用的研究较多，如磷石膏基础理论研究了矿物组成、化学活性、微观结构等，以揭示磷石膏的内在规律；预处理研究如采用化学法</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化学处理则是通过添加化学药剂，使磷石膏中的磷酸盐和钙离子发生化学反应，形成可回收的磷酸盐和钙化合物</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、物理法</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物理处理主要是通过筛分、沉淀、过滤等方法将磷石膏中的杂质和水分去除，以便后续的处理</w:t>
      </w:r>
      <w:r>
        <w:rPr>
          <w:rFonts w:hint="eastAsia" w:ascii="仿宋_GB2312" w:hAnsi="仿宋_GB2312" w:eastAsia="仿宋_GB2312" w:cs="仿宋_GB2312"/>
          <w:color w:val="auto"/>
          <w:spacing w:val="2"/>
          <w:sz w:val="30"/>
          <w:szCs w:val="30"/>
          <w:lang w:val="en-US" w:eastAsia="zh-CN"/>
        </w:rPr>
        <w:t>)，先通过降低磷石膏中杂质及有害物质含量，使磷石膏满足资源化综合利用相关指标要求。</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标准编制组</w:t>
      </w:r>
      <w:r>
        <w:rPr>
          <w:rFonts w:hint="default" w:ascii="仿宋_GB2312" w:hAnsi="仿宋_GB2312" w:eastAsia="仿宋_GB2312" w:cs="仿宋_GB2312"/>
          <w:color w:val="auto"/>
          <w:spacing w:val="2"/>
          <w:sz w:val="30"/>
          <w:szCs w:val="30"/>
          <w:lang w:val="en-US" w:eastAsia="zh-CN"/>
        </w:rPr>
        <w:t>将磷石膏与建筑固废</w:t>
      </w:r>
      <w:r>
        <w:rPr>
          <w:rFonts w:hint="eastAsia" w:ascii="仿宋_GB2312" w:hAnsi="仿宋_GB2312" w:eastAsia="仿宋_GB2312" w:cs="仿宋_GB2312"/>
          <w:color w:val="auto"/>
          <w:spacing w:val="2"/>
          <w:sz w:val="30"/>
          <w:szCs w:val="30"/>
          <w:lang w:val="en-US" w:eastAsia="zh-CN"/>
        </w:rPr>
        <w:t>这种“变废为宝”创新型</w:t>
      </w:r>
      <w:r>
        <w:rPr>
          <w:rFonts w:hint="default" w:ascii="仿宋_GB2312" w:hAnsi="仿宋_GB2312" w:eastAsia="仿宋_GB2312" w:cs="仿宋_GB2312"/>
          <w:color w:val="auto"/>
          <w:spacing w:val="2"/>
          <w:sz w:val="30"/>
          <w:szCs w:val="30"/>
          <w:lang w:val="en-US" w:eastAsia="zh-CN"/>
        </w:rPr>
        <w:t>研究</w:t>
      </w:r>
      <w:r>
        <w:rPr>
          <w:rFonts w:hint="eastAsia" w:ascii="仿宋_GB2312" w:hAnsi="仿宋_GB2312" w:eastAsia="仿宋_GB2312" w:cs="仿宋_GB2312"/>
          <w:color w:val="auto"/>
          <w:spacing w:val="2"/>
          <w:sz w:val="30"/>
          <w:szCs w:val="30"/>
          <w:lang w:val="en-US" w:eastAsia="zh-CN"/>
        </w:rPr>
        <w:t>，填补了相关学术科研领域的空白</w:t>
      </w:r>
      <w:r>
        <w:rPr>
          <w:rFonts w:hint="default" w:ascii="仿宋_GB2312" w:hAnsi="仿宋_GB2312" w:eastAsia="仿宋_GB2312" w:cs="仿宋_GB2312"/>
          <w:color w:val="auto"/>
          <w:spacing w:val="2"/>
          <w:sz w:val="30"/>
          <w:szCs w:val="30"/>
          <w:lang w:val="en-US" w:eastAsia="zh-CN"/>
        </w:rPr>
        <w:t>。</w:t>
      </w:r>
      <w:r>
        <w:rPr>
          <w:rFonts w:hint="eastAsia" w:ascii="仿宋_GB2312" w:hAnsi="仿宋_GB2312" w:eastAsia="仿宋_GB2312" w:cs="仿宋_GB2312"/>
          <w:color w:val="auto"/>
          <w:spacing w:val="2"/>
          <w:sz w:val="30"/>
          <w:szCs w:val="30"/>
          <w:lang w:val="en-US" w:eastAsia="zh-CN"/>
        </w:rPr>
        <w:t>本标准形成了“磷石膏流态固化土的分类及标记、技术要求、试验方法、检验规则、生产和运输、质量检查与验收、环境管理与环境监测、订货与交货”成套较为完善的技术体系。本标准的应用，一是给磷石膏流态固化土的生产和质量控制提供了有力的技术支撑和保障，二是对规范市场秩序、保护环境、推动磷石膏、建筑固废的综合利用提出了新的理念与发展方向。</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通过磷石膏流态固化土的应用</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一方面有力支撑解决长江经济带</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三磷</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污染问题</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筑牢长江上游生态屏障</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推动磷化工产业链的环保水平提升</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降低生产过程中的污染排放</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提高企业的社会责任履行能力；另一方面能加快固废资源的循环利用</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可以大幅提升建筑垃圾的利用率</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有效缓解建筑垃圾的空间存储问题</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低碳节能</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贴近零污染、零排放的理想环保要求</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实现</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双碳</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目标</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有机构建固废资源循环利用体系更是实施全面节约战略、保障国家资源安全、积极稳妥推进碳达峰碳中和、加快发展方式绿色转型的重要举措。磷石膏流态固化土的推广与使用</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将有效推动磷化工产业链的绿色转型及建筑固废的综合利用</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有序推进</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无废城市</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建设工作</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为生态文明建设作出贡献。</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1.3编制过程</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pacing w:val="-5"/>
          <w:sz w:val="30"/>
          <w:szCs w:val="30"/>
          <w:lang w:val="en-US" w:eastAsia="zh-CN"/>
        </w:rPr>
        <w:t xml:space="preserve">1.3.1 </w:t>
      </w:r>
      <w:r>
        <w:rPr>
          <w:rFonts w:hint="eastAsia" w:ascii="仿宋_GB2312" w:hAnsi="仿宋_GB2312" w:eastAsia="仿宋_GB2312" w:cs="仿宋_GB2312"/>
          <w:b/>
          <w:bCs/>
          <w:spacing w:val="-10"/>
          <w:sz w:val="30"/>
          <w:szCs w:val="30"/>
        </w:rPr>
        <w:t>前期</w:t>
      </w:r>
      <w:r>
        <w:rPr>
          <w:rFonts w:hint="eastAsia" w:ascii="仿宋_GB2312" w:hAnsi="仿宋_GB2312" w:eastAsia="仿宋_GB2312" w:cs="仿宋_GB2312"/>
          <w:b/>
          <w:bCs/>
          <w:spacing w:val="-10"/>
          <w:sz w:val="30"/>
          <w:szCs w:val="30"/>
          <w:lang w:val="en-US" w:eastAsia="zh-CN"/>
        </w:rPr>
        <w:t>准备阶段</w:t>
      </w:r>
      <w:r>
        <w:rPr>
          <w:rFonts w:hint="eastAsia" w:ascii="仿宋_GB2312" w:hAnsi="仿宋_GB2312" w:eastAsia="仿宋_GB2312" w:cs="仿宋_GB2312"/>
          <w:b/>
          <w:bCs/>
          <w:spacing w:val="-5"/>
          <w:sz w:val="30"/>
          <w:szCs w:val="30"/>
          <w:lang w:eastAsia="zh-CN"/>
        </w:rPr>
        <w:t>(</w:t>
      </w:r>
      <w:r>
        <w:rPr>
          <w:rFonts w:hint="eastAsia" w:ascii="仿宋_GB2312" w:hAnsi="仿宋_GB2312" w:eastAsia="仿宋_GB2312" w:cs="仿宋_GB2312"/>
          <w:b/>
          <w:bCs/>
          <w:spacing w:val="-5"/>
          <w:sz w:val="30"/>
          <w:szCs w:val="30"/>
        </w:rPr>
        <w:t>2023年</w:t>
      </w:r>
      <w:r>
        <w:rPr>
          <w:rFonts w:hint="eastAsia" w:ascii="仿宋_GB2312" w:hAnsi="仿宋_GB2312" w:eastAsia="仿宋_GB2312" w:cs="仿宋_GB2312"/>
          <w:b/>
          <w:bCs/>
          <w:spacing w:val="-5"/>
          <w:sz w:val="30"/>
          <w:szCs w:val="30"/>
          <w:lang w:val="en-US" w:eastAsia="zh-CN"/>
        </w:rPr>
        <w:t>11</w:t>
      </w:r>
      <w:r>
        <w:rPr>
          <w:rFonts w:hint="eastAsia" w:ascii="仿宋_GB2312" w:hAnsi="仿宋_GB2312" w:eastAsia="仿宋_GB2312" w:cs="仿宋_GB2312"/>
          <w:b/>
          <w:bCs/>
          <w:spacing w:val="-5"/>
          <w:sz w:val="30"/>
          <w:szCs w:val="30"/>
        </w:rPr>
        <w:t>月</w:t>
      </w:r>
      <w:r>
        <w:rPr>
          <w:rFonts w:hint="eastAsia" w:ascii="仿宋_GB2312" w:hAnsi="仿宋_GB2312" w:eastAsia="仿宋_GB2312" w:cs="仿宋_GB2312"/>
          <w:b/>
          <w:bCs/>
          <w:spacing w:val="-5"/>
          <w:sz w:val="30"/>
          <w:szCs w:val="30"/>
          <w:lang w:val="en-US" w:eastAsia="zh-CN"/>
        </w:rPr>
        <w:t>-2023年12月</w:t>
      </w:r>
      <w:r>
        <w:rPr>
          <w:rFonts w:hint="eastAsia" w:ascii="仿宋_GB2312" w:hAnsi="仿宋_GB2312" w:eastAsia="仿宋_GB2312" w:cs="仿宋_GB2312"/>
          <w:b/>
          <w:bCs/>
          <w:spacing w:val="-5"/>
          <w:sz w:val="30"/>
          <w:szCs w:val="30"/>
          <w:lang w:eastAsia="zh-CN"/>
        </w:rPr>
        <w:t>)</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主编单位严格按照下达计划节点开展标准编制工作，及时召开第一次工作会议，正式成立了标准编制组，确定了主要起草人员，并据此制定了详细的编写计划和时间表，并对编写小组成员进行了详细分工。</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在编写之初，</w:t>
      </w:r>
      <w:r>
        <w:rPr>
          <w:rFonts w:hint="eastAsia" w:ascii="仿宋_GB2312" w:hAnsi="仿宋_GB2312" w:eastAsia="仿宋_GB2312" w:cs="仿宋_GB2312"/>
          <w:color w:val="auto"/>
          <w:spacing w:val="2"/>
          <w:sz w:val="30"/>
          <w:szCs w:val="30"/>
          <w:lang w:val="en-US" w:eastAsia="zh-CN"/>
        </w:rPr>
        <w:t>标准编写小组讨论并</w:t>
      </w:r>
      <w:r>
        <w:rPr>
          <w:rFonts w:hint="default" w:ascii="仿宋_GB2312" w:hAnsi="仿宋_GB2312" w:eastAsia="仿宋_GB2312" w:cs="仿宋_GB2312"/>
          <w:color w:val="auto"/>
          <w:spacing w:val="2"/>
          <w:sz w:val="30"/>
          <w:szCs w:val="30"/>
          <w:lang w:val="en-US" w:eastAsia="zh-CN"/>
        </w:rPr>
        <w:t>明确</w:t>
      </w:r>
      <w:r>
        <w:rPr>
          <w:rFonts w:hint="eastAsia" w:ascii="仿宋_GB2312" w:hAnsi="仿宋_GB2312" w:eastAsia="仿宋_GB2312" w:cs="仿宋_GB2312"/>
          <w:color w:val="auto"/>
          <w:spacing w:val="2"/>
          <w:sz w:val="30"/>
          <w:szCs w:val="30"/>
          <w:lang w:val="en-US" w:eastAsia="zh-CN"/>
        </w:rPr>
        <w:t>了文件编制</w:t>
      </w:r>
      <w:r>
        <w:rPr>
          <w:rFonts w:hint="default" w:ascii="仿宋_GB2312" w:hAnsi="仿宋_GB2312" w:eastAsia="仿宋_GB2312" w:cs="仿宋_GB2312"/>
          <w:color w:val="auto"/>
          <w:spacing w:val="2"/>
          <w:sz w:val="30"/>
          <w:szCs w:val="30"/>
          <w:lang w:val="en-US" w:eastAsia="zh-CN"/>
        </w:rPr>
        <w:t>的目的和适用范围</w:t>
      </w:r>
      <w:r>
        <w:rPr>
          <w:rFonts w:hint="eastAsia" w:ascii="仿宋_GB2312" w:hAnsi="仿宋_GB2312" w:eastAsia="仿宋_GB2312" w:cs="仿宋_GB2312"/>
          <w:color w:val="auto"/>
          <w:spacing w:val="2"/>
          <w:sz w:val="30"/>
          <w:szCs w:val="30"/>
          <w:lang w:val="en-US" w:eastAsia="zh-CN"/>
        </w:rPr>
        <w:t>，明确了以磷石膏流态固化土的分类和标记、技术要求、试验方法、检验规则、生产和运输、质量检查与验收、环境管理与环境监测、订货与交货</w:t>
      </w:r>
      <w:r>
        <w:rPr>
          <w:rFonts w:hint="default" w:ascii="仿宋_GB2312" w:hAnsi="仿宋_GB2312" w:eastAsia="仿宋_GB2312" w:cs="仿宋_GB2312"/>
          <w:color w:val="auto"/>
          <w:spacing w:val="2"/>
          <w:sz w:val="30"/>
          <w:szCs w:val="30"/>
          <w:lang w:val="en-US" w:eastAsia="zh-CN"/>
        </w:rPr>
        <w:t>等</w:t>
      </w:r>
      <w:r>
        <w:rPr>
          <w:rFonts w:hint="eastAsia" w:ascii="仿宋_GB2312" w:hAnsi="仿宋_GB2312" w:eastAsia="仿宋_GB2312" w:cs="仿宋_GB2312"/>
          <w:color w:val="auto"/>
          <w:spacing w:val="2"/>
          <w:sz w:val="30"/>
          <w:szCs w:val="30"/>
          <w:lang w:val="en-US" w:eastAsia="zh-CN"/>
        </w:rPr>
        <w:t>为编制核心章内容，并根据核心章内容开展研究工作</w:t>
      </w:r>
      <w:r>
        <w:rPr>
          <w:rFonts w:hint="default" w:ascii="仿宋_GB2312" w:hAnsi="仿宋_GB2312" w:eastAsia="仿宋_GB2312" w:cs="仿宋_GB2312"/>
          <w:color w:val="auto"/>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1.3.2 调研阶段(2023年12月至2024年3月)</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标准研讨小组从磷石膏流态固化土的应用领域、市场需求、技术现状等进行初步调研和分析。通过实地考察、专家访谈、专家座谈研讨等方式及大量的实验数据深度分析了磷石膏流态固化土在应用领域中的前景和技术上的瓶颈。</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同时，广泛收集国内外相关标准和文献资料，</w:t>
      </w:r>
      <w:r>
        <w:rPr>
          <w:rFonts w:hint="default" w:ascii="仿宋_GB2312" w:hAnsi="仿宋_GB2312" w:eastAsia="仿宋_GB2312" w:cs="仿宋_GB2312"/>
          <w:color w:val="auto"/>
          <w:spacing w:val="2"/>
          <w:sz w:val="30"/>
          <w:szCs w:val="30"/>
          <w:lang w:val="en-US" w:eastAsia="zh-CN"/>
        </w:rPr>
        <w:t>关注国内外相关标准的差异和特点，</w:t>
      </w:r>
      <w:r>
        <w:rPr>
          <w:rFonts w:hint="eastAsia" w:ascii="仿宋_GB2312" w:hAnsi="仿宋_GB2312" w:eastAsia="仿宋_GB2312" w:cs="仿宋_GB2312"/>
          <w:color w:val="auto"/>
          <w:spacing w:val="2"/>
          <w:sz w:val="30"/>
          <w:szCs w:val="30"/>
          <w:lang w:val="en-US" w:eastAsia="zh-CN"/>
        </w:rPr>
        <w:t>了解现有技术的状况和发展趋势，</w:t>
      </w:r>
      <w:r>
        <w:rPr>
          <w:rFonts w:hint="default" w:ascii="仿宋_GB2312" w:hAnsi="仿宋_GB2312" w:eastAsia="仿宋_GB2312" w:cs="仿宋_GB2312"/>
          <w:color w:val="auto"/>
          <w:spacing w:val="2"/>
          <w:sz w:val="30"/>
          <w:szCs w:val="30"/>
          <w:lang w:val="en-US" w:eastAsia="zh-CN"/>
        </w:rPr>
        <w:t>为编写</w:t>
      </w:r>
      <w:r>
        <w:rPr>
          <w:rFonts w:hint="eastAsia" w:ascii="仿宋_GB2312" w:hAnsi="仿宋_GB2312" w:eastAsia="仿宋_GB2312" w:cs="仿宋_GB2312"/>
          <w:color w:val="auto"/>
          <w:spacing w:val="2"/>
          <w:sz w:val="30"/>
          <w:szCs w:val="30"/>
          <w:lang w:val="en-US" w:eastAsia="zh-CN"/>
        </w:rPr>
        <w:t>标准及试验项目</w:t>
      </w:r>
      <w:r>
        <w:rPr>
          <w:rFonts w:hint="default" w:ascii="仿宋_GB2312" w:hAnsi="仿宋_GB2312" w:eastAsia="仿宋_GB2312" w:cs="仿宋_GB2312"/>
          <w:color w:val="auto"/>
          <w:spacing w:val="2"/>
          <w:sz w:val="30"/>
          <w:szCs w:val="30"/>
          <w:lang w:val="en-US" w:eastAsia="zh-CN"/>
        </w:rPr>
        <w:t>提供参考和借鉴。</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1.3.3 标准起草(2024年1月-7月)</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起草小组根据调研结果和收集到的政策、相关标准、参考文献等资料结合磷石膏流态固化土固有</w:t>
      </w:r>
      <w:r>
        <w:rPr>
          <w:rFonts w:hint="default" w:ascii="仿宋_GB2312" w:hAnsi="仿宋_GB2312" w:eastAsia="仿宋_GB2312" w:cs="仿宋_GB2312"/>
          <w:color w:val="auto"/>
          <w:spacing w:val="2"/>
          <w:sz w:val="30"/>
          <w:szCs w:val="30"/>
          <w:lang w:val="en-US" w:eastAsia="zh-CN"/>
        </w:rPr>
        <w:t>的关键技术环节确定</w:t>
      </w:r>
      <w:r>
        <w:rPr>
          <w:rFonts w:hint="eastAsia" w:ascii="仿宋_GB2312" w:hAnsi="仿宋_GB2312" w:eastAsia="仿宋_GB2312" w:cs="仿宋_GB2312"/>
          <w:color w:val="auto"/>
          <w:spacing w:val="2"/>
          <w:sz w:val="30"/>
          <w:szCs w:val="30"/>
          <w:lang w:val="en-US" w:eastAsia="zh-CN"/>
        </w:rPr>
        <w:t>出</w:t>
      </w:r>
      <w:r>
        <w:rPr>
          <w:rFonts w:hint="default" w:ascii="仿宋_GB2312" w:hAnsi="仿宋_GB2312" w:eastAsia="仿宋_GB2312" w:cs="仿宋_GB2312"/>
          <w:color w:val="auto"/>
          <w:spacing w:val="2"/>
          <w:sz w:val="30"/>
          <w:szCs w:val="30"/>
          <w:lang w:val="en-US" w:eastAsia="zh-CN"/>
        </w:rPr>
        <w:t>相应的技术要求和指标。</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起草小组完成了数百次的实（试）验，攻克了磷石膏流态固化土返碱、不凝（迟凝）、成品出现裂纹等技术瓶颈，通过实（试）验数据的深度分析</w:t>
      </w:r>
      <w:r>
        <w:rPr>
          <w:rFonts w:hint="default" w:ascii="仿宋_GB2312" w:hAnsi="仿宋_GB2312" w:eastAsia="仿宋_GB2312" w:cs="仿宋_GB2312"/>
          <w:color w:val="auto"/>
          <w:spacing w:val="2"/>
          <w:sz w:val="30"/>
          <w:szCs w:val="30"/>
          <w:lang w:val="en-US" w:eastAsia="zh-CN"/>
        </w:rPr>
        <w:t>对</w:t>
      </w:r>
      <w:r>
        <w:rPr>
          <w:rFonts w:hint="eastAsia" w:ascii="仿宋_GB2312" w:hAnsi="仿宋_GB2312" w:eastAsia="仿宋_GB2312" w:cs="仿宋_GB2312"/>
          <w:color w:val="auto"/>
          <w:spacing w:val="2"/>
          <w:sz w:val="30"/>
          <w:szCs w:val="30"/>
          <w:lang w:val="en-US" w:eastAsia="zh-CN"/>
        </w:rPr>
        <w:t>本标准的起草提供了可靠的依据。起草小组在内部数次审查的基础上，广泛征求职能部门、科研院所、企业、行业专家和标准化专家对本标准的内容和指标的确定进行充分研讨，并充分吸纳各方意见与建议，确保磷石膏流态固化土的分类和标记、技术要求、试验方法、检验规则、生产和运输、质量检查与验收、环境管理与环境监测、订货与交货核心体系完备，且具有良好的推广应用价值</w:t>
      </w:r>
      <w:r>
        <w:rPr>
          <w:rFonts w:hint="eastAsia" w:ascii="仿宋_GB2312" w:hAnsi="宋体" w:eastAsia="仿宋_GB2312" w:cs="仿宋_GB2312"/>
          <w:snapToGrid w:val="0"/>
          <w:color w:val="000000"/>
          <w:kern w:val="0"/>
          <w:sz w:val="31"/>
          <w:szCs w:val="31"/>
          <w:lang w:val="en-US" w:eastAsia="zh-CN" w:bidi="ar"/>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1.3.4 标准征求意见(2024年8月-9月)</w:t>
      </w:r>
    </w:p>
    <w:p>
      <w:pPr>
        <w:keepNext w:val="0"/>
        <w:keepLines w:val="0"/>
        <w:pageBreakBefore w:val="0"/>
        <w:widowControl/>
        <w:suppressLineNumbers w:val="0"/>
        <w:kinsoku w:val="0"/>
        <w:wordWrap/>
        <w:overflowPunct/>
        <w:topLinePunct w:val="0"/>
        <w:autoSpaceDE w:val="0"/>
        <w:autoSpaceDN w:val="0"/>
        <w:bidi w:val="0"/>
        <w:adjustRightInd/>
        <w:snapToGrid/>
        <w:spacing w:line="360" w:lineRule="auto"/>
        <w:ind w:left="0" w:right="0" w:firstLine="608" w:firstLineChars="200"/>
        <w:jc w:val="left"/>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起草小组对标准编制过程的问题及时沟通，重要技术问题及时召开标准编制会议，在正式对外征求意见前，通过定向对行业内知名专家征集意见的方式，确保了标准编制质量。</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标准草案稿和编制说明均得到了主要起草人多次集体研讨、个别讨论。特别是对标准的技术要求、核心章节要点等还数次通过电话、微信、</w:t>
      </w:r>
      <w:r>
        <w:rPr>
          <w:rFonts w:hint="default" w:ascii="Times New Roman" w:hAnsi="Times New Roman" w:eastAsia="仿宋_GB2312" w:cs="Times New Roman"/>
          <w:color w:val="auto"/>
          <w:spacing w:val="2"/>
          <w:sz w:val="30"/>
          <w:szCs w:val="30"/>
          <w:lang w:val="en-US" w:eastAsia="zh-CN"/>
        </w:rPr>
        <w:t>QQ</w:t>
      </w:r>
      <w:r>
        <w:rPr>
          <w:rFonts w:hint="eastAsia" w:ascii="仿宋_GB2312" w:hAnsi="仿宋_GB2312" w:eastAsia="仿宋_GB2312" w:cs="仿宋_GB2312"/>
          <w:color w:val="auto"/>
          <w:spacing w:val="2"/>
          <w:sz w:val="30"/>
          <w:szCs w:val="30"/>
          <w:lang w:val="en-US" w:eastAsia="zh-CN"/>
        </w:rPr>
        <w:t>、腾讯会议等方式有针对性与施工单位、设计单位、监理单位等不同专业（领域）的专家及同行广泛交流探讨，在统一各方面的意见的基础上分别形成标准草案稿和标准征求意见稿。并按程序通过公开发布征求意见稿来广泛征求行业领域和社会各界专家的意见和建议。对全方位收集归纳的反馈意见进行认真评估、整合和修改完善，最终形成标准文本和编制说明的送审稿，提交至达州市市场监督管理局按程序审查。</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2.确定标准主要内容的依据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本文件规定了磷石膏流态固化土的分类和标记、技术要求、试验方法、检验规则、生产和运输、质量检查与验收、环境管理与环境监测、订货与交货。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本文件适用于达州市行政区域内新建、改建和扩建的房屋建筑工程和市政基础设施工程的非主体结构承重部位，以及露天矿坑回填、井下充填、地下采空区充填等领域对磷石膏流态固化土的综合利用。</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本文件不适用于自然保护区、饮用水水源保护区、重要湿地等区域。</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本文件仅适用于搅拌站（楼）集中生产的磷石膏流态固化土。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本文件不包括交货后的磷石膏流态固化土的浇筑、振捣和养护。</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2.1编制原则</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黑体" w:hAnsi="黑体" w:eastAsia="黑体" w:cs="黑体"/>
          <w:spacing w:val="11"/>
          <w:sz w:val="30"/>
          <w:szCs w:val="30"/>
          <w:lang w:val="en-US" w:eastAsia="zh-CN"/>
        </w:rPr>
      </w:pPr>
      <w:r>
        <w:rPr>
          <w:rFonts w:hint="eastAsia" w:ascii="仿宋_GB2312" w:hAnsi="仿宋_GB2312" w:eastAsia="仿宋_GB2312" w:cs="仿宋_GB2312"/>
          <w:color w:val="auto"/>
          <w:spacing w:val="2"/>
          <w:sz w:val="30"/>
          <w:szCs w:val="30"/>
          <w:lang w:val="en-US" w:eastAsia="zh-CN"/>
        </w:rPr>
        <w:t>遵循标准编制先进性、科学性、一致性和可行性的原则。在编制过程中，以国家法律法规、技术政策为依据，以标准化工作导则为指导，参照国内外相关标准，在验证试验的基础上，采用成熟可行的技术指标及试验方法，使本标准具有良好的可操作性。</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2.1.1 科学性和准确性</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为了客观评估磷石膏流态固化土的性能指标</w:t>
      </w:r>
      <w:r>
        <w:rPr>
          <w:rFonts w:hint="eastAsia" w:ascii="仿宋_GB2312" w:hAnsi="仿宋_GB2312" w:eastAsia="仿宋_GB2312" w:cs="仿宋_GB2312"/>
          <w:color w:val="auto"/>
          <w:spacing w:val="2"/>
          <w:sz w:val="30"/>
          <w:szCs w:val="30"/>
          <w:lang w:val="en-US" w:eastAsia="zh-CN"/>
        </w:rPr>
        <w:t>，本标准在编制过程中</w:t>
      </w:r>
      <w:r>
        <w:rPr>
          <w:rFonts w:hint="default" w:ascii="仿宋_GB2312" w:hAnsi="仿宋_GB2312" w:eastAsia="仿宋_GB2312" w:cs="仿宋_GB2312"/>
          <w:color w:val="auto"/>
          <w:spacing w:val="2"/>
          <w:sz w:val="30"/>
          <w:szCs w:val="30"/>
          <w:lang w:val="en-US" w:eastAsia="zh-CN"/>
        </w:rPr>
        <w:t>采用了一系列的实验方法和测试手段。通过对比不同配比和固化条件下的固化土样品在</w:t>
      </w:r>
      <w:r>
        <w:rPr>
          <w:rFonts w:hint="eastAsia" w:ascii="仿宋_GB2312" w:hAnsi="仿宋_GB2312" w:eastAsia="仿宋_GB2312" w:cs="仿宋_GB2312"/>
          <w:color w:val="auto"/>
          <w:spacing w:val="2"/>
          <w:sz w:val="30"/>
          <w:szCs w:val="30"/>
          <w:lang w:val="en-US" w:eastAsia="zh-CN"/>
        </w:rPr>
        <w:t>立方体</w:t>
      </w:r>
      <w:r>
        <w:rPr>
          <w:rFonts w:hint="default" w:ascii="仿宋_GB2312" w:hAnsi="仿宋_GB2312" w:eastAsia="仿宋_GB2312" w:cs="仿宋_GB2312"/>
          <w:color w:val="auto"/>
          <w:spacing w:val="2"/>
          <w:sz w:val="30"/>
          <w:szCs w:val="30"/>
          <w:lang w:val="en-US" w:eastAsia="zh-CN"/>
        </w:rPr>
        <w:t>抗压强度、抗</w:t>
      </w:r>
      <w:r>
        <w:rPr>
          <w:rFonts w:hint="eastAsia" w:ascii="仿宋_GB2312" w:hAnsi="仿宋_GB2312" w:eastAsia="仿宋_GB2312" w:cs="仿宋_GB2312"/>
          <w:color w:val="auto"/>
          <w:spacing w:val="2"/>
          <w:sz w:val="30"/>
          <w:szCs w:val="30"/>
          <w:lang w:val="en-US" w:eastAsia="zh-CN"/>
        </w:rPr>
        <w:t>冻等级</w:t>
      </w:r>
      <w:r>
        <w:rPr>
          <w:rFonts w:hint="default" w:ascii="仿宋_GB2312" w:hAnsi="仿宋_GB2312" w:eastAsia="仿宋_GB2312" w:cs="仿宋_GB2312"/>
          <w:color w:val="auto"/>
          <w:spacing w:val="2"/>
          <w:sz w:val="30"/>
          <w:szCs w:val="30"/>
          <w:lang w:val="en-US" w:eastAsia="zh-CN"/>
        </w:rPr>
        <w:t>、</w:t>
      </w:r>
      <w:r>
        <w:rPr>
          <w:rFonts w:hint="eastAsia" w:ascii="仿宋_GB2312" w:hAnsi="仿宋_GB2312" w:eastAsia="仿宋_GB2312" w:cs="仿宋_GB2312"/>
          <w:color w:val="auto"/>
          <w:spacing w:val="2"/>
          <w:sz w:val="30"/>
          <w:szCs w:val="30"/>
          <w:lang w:val="en-US" w:eastAsia="zh-CN"/>
        </w:rPr>
        <w:t>渗透系数、收缩值、软化系数</w:t>
      </w:r>
      <w:r>
        <w:rPr>
          <w:rFonts w:hint="default" w:ascii="仿宋_GB2312" w:hAnsi="仿宋_GB2312" w:eastAsia="仿宋_GB2312" w:cs="仿宋_GB2312"/>
          <w:color w:val="auto"/>
          <w:spacing w:val="2"/>
          <w:sz w:val="30"/>
          <w:szCs w:val="30"/>
          <w:lang w:val="en-US" w:eastAsia="zh-CN"/>
        </w:rPr>
        <w:t>等方面的性能表现</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得出了磷石膏流态固化土的性能指标范围和优化方向。</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实验结果</w:t>
      </w:r>
      <w:r>
        <w:rPr>
          <w:rFonts w:hint="eastAsia" w:ascii="仿宋_GB2312" w:hAnsi="仿宋_GB2312" w:eastAsia="仿宋_GB2312" w:cs="仿宋_GB2312"/>
          <w:color w:val="auto"/>
          <w:spacing w:val="2"/>
          <w:sz w:val="30"/>
          <w:szCs w:val="30"/>
          <w:lang w:val="en-US" w:eastAsia="zh-CN"/>
        </w:rPr>
        <w:t>数据</w:t>
      </w:r>
      <w:r>
        <w:rPr>
          <w:rFonts w:hint="default" w:ascii="仿宋_GB2312" w:hAnsi="仿宋_GB2312" w:eastAsia="仿宋_GB2312" w:cs="仿宋_GB2312"/>
          <w:color w:val="auto"/>
          <w:spacing w:val="2"/>
          <w:sz w:val="30"/>
          <w:szCs w:val="30"/>
          <w:lang w:val="en-US" w:eastAsia="zh-CN"/>
        </w:rPr>
        <w:t>表明</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磷石膏流态固化土具有</w:t>
      </w:r>
      <w:r>
        <w:rPr>
          <w:rFonts w:hint="eastAsia" w:ascii="仿宋_GB2312" w:hAnsi="仿宋_GB2312" w:eastAsia="仿宋_GB2312" w:cs="仿宋_GB2312"/>
          <w:color w:val="auto"/>
          <w:spacing w:val="2"/>
          <w:sz w:val="30"/>
          <w:szCs w:val="30"/>
          <w:lang w:val="en-US" w:eastAsia="zh-CN"/>
        </w:rPr>
        <w:t>一定</w:t>
      </w:r>
      <w:r>
        <w:rPr>
          <w:rFonts w:hint="default" w:ascii="仿宋_GB2312" w:hAnsi="仿宋_GB2312" w:eastAsia="仿宋_GB2312" w:cs="仿宋_GB2312"/>
          <w:color w:val="auto"/>
          <w:spacing w:val="2"/>
          <w:sz w:val="30"/>
          <w:szCs w:val="30"/>
          <w:lang w:val="en-US" w:eastAsia="zh-CN"/>
        </w:rPr>
        <w:t>的抗压强度</w:t>
      </w:r>
      <w:r>
        <w:rPr>
          <w:rFonts w:hint="eastAsia" w:ascii="仿宋_GB2312" w:hAnsi="仿宋_GB2312" w:eastAsia="仿宋_GB2312" w:cs="仿宋_GB2312"/>
          <w:color w:val="auto"/>
          <w:spacing w:val="2"/>
          <w:sz w:val="30"/>
          <w:szCs w:val="30"/>
          <w:lang w:val="en-US" w:eastAsia="zh-CN"/>
        </w:rPr>
        <w:t>、耐久性</w:t>
      </w:r>
      <w:r>
        <w:rPr>
          <w:rFonts w:hint="default" w:ascii="仿宋_GB2312" w:hAnsi="仿宋_GB2312" w:eastAsia="仿宋_GB2312" w:cs="仿宋_GB2312"/>
          <w:color w:val="auto"/>
          <w:spacing w:val="2"/>
          <w:sz w:val="30"/>
          <w:szCs w:val="30"/>
          <w:lang w:val="en-US" w:eastAsia="zh-CN"/>
        </w:rPr>
        <w:t>和稳定性</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能</w:t>
      </w:r>
      <w:r>
        <w:rPr>
          <w:rFonts w:hint="eastAsia" w:ascii="仿宋_GB2312" w:hAnsi="仿宋_GB2312" w:eastAsia="仿宋_GB2312" w:cs="仿宋_GB2312"/>
          <w:color w:val="auto"/>
          <w:spacing w:val="2"/>
          <w:sz w:val="30"/>
          <w:szCs w:val="30"/>
          <w:lang w:val="en-US" w:eastAsia="zh-CN"/>
        </w:rPr>
        <w:t>适用于达州市行政区域内新建、改建和扩建的房屋建筑工程和市政基础设施工程的非主体结构承重部位，以及露天矿坑回填、井下充填、地下采空区充填等领域对磷石膏流态固化土的综合利用(自然保护区、饮用水水源保护区、重要湿地等区域除外)</w:t>
      </w:r>
      <w:r>
        <w:rPr>
          <w:rFonts w:hint="default" w:ascii="仿宋_GB2312" w:hAnsi="仿宋_GB2312" w:eastAsia="仿宋_GB2312" w:cs="仿宋_GB2312"/>
          <w:color w:val="auto"/>
          <w:spacing w:val="2"/>
          <w:sz w:val="30"/>
          <w:szCs w:val="30"/>
          <w:lang w:val="en-US" w:eastAsia="zh-CN"/>
        </w:rPr>
        <w:t>。同时</w:t>
      </w:r>
      <w:r>
        <w:rPr>
          <w:rFonts w:hint="eastAsia" w:ascii="仿宋_GB2312" w:hAnsi="仿宋_GB2312" w:eastAsia="仿宋_GB2312" w:cs="仿宋_GB2312"/>
          <w:color w:val="auto"/>
          <w:spacing w:val="2"/>
          <w:sz w:val="30"/>
          <w:szCs w:val="30"/>
          <w:lang w:val="en-US" w:eastAsia="zh-CN"/>
        </w:rPr>
        <w:t>，在实(试)验过程中</w:t>
      </w:r>
      <w:r>
        <w:rPr>
          <w:rFonts w:hint="default" w:ascii="仿宋_GB2312" w:hAnsi="仿宋_GB2312" w:eastAsia="仿宋_GB2312" w:cs="仿宋_GB2312"/>
          <w:color w:val="auto"/>
          <w:spacing w:val="2"/>
          <w:sz w:val="30"/>
          <w:szCs w:val="30"/>
          <w:lang w:val="en-US" w:eastAsia="zh-CN"/>
        </w:rPr>
        <w:t>我们还发现通过优化材料配比和固化剂改性等手段可以进一步提高磷石膏流态固化土的性能指标。这些研究成果为磷石膏流态固化土在工程中的应用提供了有力的技术支撑和参考依据</w:t>
      </w:r>
      <w:r>
        <w:rPr>
          <w:rFonts w:hint="eastAsia" w:ascii="仿宋_GB2312" w:hAnsi="仿宋_GB2312" w:eastAsia="仿宋_GB2312" w:cs="仿宋_GB2312"/>
          <w:color w:val="auto"/>
          <w:spacing w:val="2"/>
          <w:sz w:val="30"/>
          <w:szCs w:val="30"/>
          <w:lang w:val="en-US" w:eastAsia="zh-CN"/>
        </w:rPr>
        <w:t>，保证了此标准的科学性和准确性。</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2.1.2 可操作性</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目前</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国内磷石膏流态固化土的生产和应用</w:t>
      </w:r>
      <w:r>
        <w:rPr>
          <w:rFonts w:hint="eastAsia" w:ascii="仿宋_GB2312" w:hAnsi="仿宋_GB2312" w:eastAsia="仿宋_GB2312" w:cs="仿宋_GB2312"/>
          <w:color w:val="auto"/>
          <w:spacing w:val="2"/>
          <w:sz w:val="30"/>
          <w:szCs w:val="30"/>
          <w:lang w:val="en-US" w:eastAsia="zh-CN"/>
        </w:rPr>
        <w:t>处于空白，缺失</w:t>
      </w:r>
      <w:r>
        <w:rPr>
          <w:rFonts w:hint="default" w:ascii="仿宋_GB2312" w:hAnsi="仿宋_GB2312" w:eastAsia="仿宋_GB2312" w:cs="仿宋_GB2312"/>
          <w:color w:val="auto"/>
          <w:spacing w:val="2"/>
          <w:sz w:val="30"/>
          <w:szCs w:val="30"/>
          <w:lang w:val="en-US" w:eastAsia="zh-CN"/>
        </w:rPr>
        <w:t>统一、规范的标准体系。</w:t>
      </w:r>
      <w:r>
        <w:rPr>
          <w:rFonts w:hint="eastAsia" w:ascii="仿宋_GB2312" w:hAnsi="仿宋_GB2312" w:eastAsia="仿宋_GB2312" w:cs="仿宋_GB2312"/>
          <w:color w:val="auto"/>
          <w:spacing w:val="2"/>
          <w:sz w:val="30"/>
          <w:szCs w:val="30"/>
          <w:lang w:val="en-US" w:eastAsia="zh-CN"/>
        </w:rPr>
        <w:t>为杜绝</w:t>
      </w:r>
      <w:r>
        <w:rPr>
          <w:rFonts w:hint="default" w:ascii="仿宋_GB2312" w:hAnsi="仿宋_GB2312" w:eastAsia="仿宋_GB2312" w:cs="仿宋_GB2312"/>
          <w:color w:val="auto"/>
          <w:spacing w:val="2"/>
          <w:sz w:val="30"/>
          <w:szCs w:val="30"/>
          <w:lang w:val="en-US" w:eastAsia="zh-CN"/>
        </w:rPr>
        <w:t>市场上出现产品质量参差不齐、性能不稳定等</w:t>
      </w:r>
      <w:r>
        <w:rPr>
          <w:rFonts w:hint="eastAsia" w:ascii="仿宋_GB2312" w:hAnsi="仿宋_GB2312" w:eastAsia="仿宋_GB2312" w:cs="仿宋_GB2312"/>
          <w:color w:val="auto"/>
          <w:spacing w:val="2"/>
          <w:sz w:val="30"/>
          <w:szCs w:val="30"/>
          <w:lang w:val="en-US" w:eastAsia="zh-CN"/>
        </w:rPr>
        <w:t>乱像，本标准</w:t>
      </w:r>
      <w:r>
        <w:rPr>
          <w:rFonts w:hint="default" w:ascii="仿宋_GB2312" w:hAnsi="仿宋_GB2312" w:eastAsia="仿宋_GB2312" w:cs="仿宋_GB2312"/>
          <w:color w:val="auto"/>
          <w:spacing w:val="2"/>
          <w:sz w:val="30"/>
          <w:szCs w:val="30"/>
          <w:lang w:val="en-US" w:eastAsia="zh-CN"/>
        </w:rPr>
        <w:t>的</w:t>
      </w:r>
      <w:r>
        <w:rPr>
          <w:rFonts w:hint="eastAsia" w:ascii="仿宋_GB2312" w:hAnsi="仿宋_GB2312" w:eastAsia="仿宋_GB2312" w:cs="仿宋_GB2312"/>
          <w:color w:val="auto"/>
          <w:spacing w:val="2"/>
          <w:sz w:val="30"/>
          <w:szCs w:val="30"/>
          <w:lang w:val="en-US" w:eastAsia="zh-CN"/>
        </w:rPr>
        <w:t>使用，</w:t>
      </w:r>
      <w:r>
        <w:rPr>
          <w:rFonts w:hint="default" w:ascii="仿宋_GB2312" w:hAnsi="仿宋_GB2312" w:eastAsia="仿宋_GB2312" w:cs="仿宋_GB2312"/>
          <w:color w:val="auto"/>
          <w:spacing w:val="2"/>
          <w:sz w:val="30"/>
          <w:szCs w:val="30"/>
          <w:lang w:val="en-US" w:eastAsia="zh-CN"/>
        </w:rPr>
        <w:t>将</w:t>
      </w:r>
      <w:r>
        <w:rPr>
          <w:rFonts w:hint="eastAsia" w:ascii="仿宋_GB2312" w:hAnsi="仿宋_GB2312" w:eastAsia="仿宋_GB2312" w:cs="仿宋_GB2312"/>
          <w:color w:val="auto"/>
          <w:spacing w:val="2"/>
          <w:sz w:val="30"/>
          <w:szCs w:val="30"/>
          <w:lang w:val="en-US" w:eastAsia="zh-CN"/>
        </w:rPr>
        <w:t>避免乱像的滋生，有效</w:t>
      </w:r>
      <w:r>
        <w:rPr>
          <w:rFonts w:hint="default" w:ascii="仿宋_GB2312" w:hAnsi="仿宋_GB2312" w:eastAsia="仿宋_GB2312" w:cs="仿宋_GB2312"/>
          <w:color w:val="auto"/>
          <w:spacing w:val="2"/>
          <w:sz w:val="30"/>
          <w:szCs w:val="30"/>
          <w:lang w:val="en-US" w:eastAsia="zh-CN"/>
        </w:rPr>
        <w:t>规范磷石膏流态固化土</w:t>
      </w:r>
      <w:r>
        <w:rPr>
          <w:rFonts w:hint="eastAsia" w:ascii="仿宋_GB2312" w:hAnsi="仿宋_GB2312" w:eastAsia="仿宋_GB2312" w:cs="仿宋_GB2312"/>
          <w:color w:val="auto"/>
          <w:spacing w:val="2"/>
          <w:sz w:val="30"/>
          <w:szCs w:val="30"/>
          <w:lang w:val="en-US" w:eastAsia="zh-CN"/>
        </w:rPr>
        <w:t>在我市建设工程领域中的</w:t>
      </w:r>
      <w:r>
        <w:rPr>
          <w:rFonts w:hint="default" w:ascii="仿宋_GB2312" w:hAnsi="仿宋_GB2312" w:eastAsia="仿宋_GB2312" w:cs="仿宋_GB2312"/>
          <w:color w:val="auto"/>
          <w:spacing w:val="2"/>
          <w:sz w:val="30"/>
          <w:szCs w:val="30"/>
          <w:lang w:val="en-US" w:eastAsia="zh-CN"/>
        </w:rPr>
        <w:t>应用</w:t>
      </w:r>
      <w:r>
        <w:rPr>
          <w:rFonts w:hint="eastAsia" w:ascii="仿宋_GB2312" w:hAnsi="仿宋_GB2312" w:eastAsia="仿宋_GB2312" w:cs="仿宋_GB2312"/>
          <w:color w:val="auto"/>
          <w:spacing w:val="2"/>
          <w:sz w:val="30"/>
          <w:szCs w:val="30"/>
          <w:lang w:val="en-US" w:eastAsia="zh-CN"/>
        </w:rPr>
        <w:t>，能更好地</w:t>
      </w:r>
      <w:r>
        <w:rPr>
          <w:rFonts w:hint="default" w:ascii="仿宋_GB2312" w:hAnsi="仿宋_GB2312" w:eastAsia="仿宋_GB2312" w:cs="仿宋_GB2312"/>
          <w:color w:val="auto"/>
          <w:spacing w:val="2"/>
          <w:sz w:val="30"/>
          <w:szCs w:val="30"/>
          <w:lang w:val="en-US" w:eastAsia="zh-CN"/>
        </w:rPr>
        <w:t>规范</w:t>
      </w:r>
      <w:r>
        <w:rPr>
          <w:rFonts w:hint="eastAsia" w:ascii="仿宋_GB2312" w:hAnsi="仿宋_GB2312" w:eastAsia="仿宋_GB2312" w:cs="仿宋_GB2312"/>
          <w:color w:val="auto"/>
          <w:spacing w:val="2"/>
          <w:sz w:val="30"/>
          <w:szCs w:val="30"/>
          <w:lang w:val="en-US" w:eastAsia="zh-CN"/>
        </w:rPr>
        <w:t>、调节</w:t>
      </w:r>
      <w:r>
        <w:rPr>
          <w:rFonts w:hint="default" w:ascii="仿宋_GB2312" w:hAnsi="仿宋_GB2312" w:eastAsia="仿宋_GB2312" w:cs="仿宋_GB2312"/>
          <w:color w:val="auto"/>
          <w:spacing w:val="2"/>
          <w:sz w:val="30"/>
          <w:szCs w:val="30"/>
          <w:lang w:val="en-US" w:eastAsia="zh-CN"/>
        </w:rPr>
        <w:t>市场秩序</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促进产业的健康发展。</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此技术标准</w:t>
      </w:r>
      <w:r>
        <w:rPr>
          <w:rFonts w:hint="default" w:ascii="仿宋_GB2312" w:hAnsi="仿宋_GB2312" w:eastAsia="仿宋_GB2312" w:cs="仿宋_GB2312"/>
          <w:color w:val="auto"/>
          <w:spacing w:val="2"/>
          <w:sz w:val="30"/>
          <w:szCs w:val="30"/>
          <w:lang w:val="en-US" w:eastAsia="zh-CN"/>
        </w:rPr>
        <w:t>的</w:t>
      </w:r>
      <w:r>
        <w:rPr>
          <w:rFonts w:hint="eastAsia" w:ascii="仿宋_GB2312" w:hAnsi="仿宋_GB2312" w:eastAsia="仿宋_GB2312" w:cs="仿宋_GB2312"/>
          <w:color w:val="auto"/>
          <w:spacing w:val="2"/>
          <w:sz w:val="30"/>
          <w:szCs w:val="30"/>
          <w:lang w:val="en-US" w:eastAsia="zh-CN"/>
        </w:rPr>
        <w:t>实施，</w:t>
      </w:r>
      <w:r>
        <w:rPr>
          <w:rFonts w:hint="default" w:ascii="仿宋_GB2312" w:hAnsi="仿宋_GB2312" w:eastAsia="仿宋_GB2312" w:cs="仿宋_GB2312"/>
          <w:color w:val="auto"/>
          <w:spacing w:val="2"/>
          <w:sz w:val="30"/>
          <w:szCs w:val="30"/>
          <w:lang w:val="en-US" w:eastAsia="zh-CN"/>
        </w:rPr>
        <w:t>将推动磷石膏流态固化土</w:t>
      </w:r>
      <w:r>
        <w:rPr>
          <w:rFonts w:hint="eastAsia" w:ascii="仿宋_GB2312" w:hAnsi="仿宋_GB2312" w:eastAsia="仿宋_GB2312" w:cs="仿宋_GB2312"/>
          <w:color w:val="auto"/>
          <w:spacing w:val="2"/>
          <w:sz w:val="30"/>
          <w:szCs w:val="30"/>
          <w:lang w:val="en-US" w:eastAsia="zh-CN"/>
        </w:rPr>
        <w:t>配合比设计、生产、验收、质量评定</w:t>
      </w:r>
      <w:r>
        <w:rPr>
          <w:rFonts w:hint="default" w:ascii="仿宋_GB2312" w:hAnsi="仿宋_GB2312" w:eastAsia="仿宋_GB2312" w:cs="仿宋_GB2312"/>
          <w:color w:val="auto"/>
          <w:spacing w:val="2"/>
          <w:sz w:val="30"/>
          <w:szCs w:val="30"/>
          <w:lang w:val="en-US" w:eastAsia="zh-CN"/>
        </w:rPr>
        <w:t>标准的统一。通过明确磷石膏流态固化土</w:t>
      </w:r>
      <w:r>
        <w:rPr>
          <w:rFonts w:hint="eastAsia" w:ascii="仿宋_GB2312" w:hAnsi="仿宋_GB2312" w:eastAsia="仿宋_GB2312" w:cs="仿宋_GB2312"/>
          <w:color w:val="auto"/>
          <w:spacing w:val="2"/>
          <w:sz w:val="30"/>
          <w:szCs w:val="30"/>
          <w:lang w:val="en-US" w:eastAsia="zh-CN"/>
        </w:rPr>
        <w:t>拌合物性能指标、力学性能指标、耐久性指标、</w:t>
      </w:r>
      <w:r>
        <w:rPr>
          <w:rFonts w:hint="default" w:ascii="仿宋_GB2312" w:hAnsi="仿宋_GB2312" w:eastAsia="仿宋_GB2312" w:cs="仿宋_GB2312"/>
          <w:color w:val="auto"/>
          <w:spacing w:val="2"/>
          <w:sz w:val="30"/>
          <w:szCs w:val="30"/>
          <w:lang w:val="en-US" w:eastAsia="zh-CN"/>
        </w:rPr>
        <w:t>浸出液特征污染浓度</w:t>
      </w:r>
      <w:r>
        <w:rPr>
          <w:rFonts w:hint="eastAsia" w:ascii="仿宋_GB2312" w:hAnsi="仿宋_GB2312" w:eastAsia="仿宋_GB2312" w:cs="仿宋_GB2312"/>
          <w:color w:val="auto"/>
          <w:spacing w:val="2"/>
          <w:sz w:val="30"/>
          <w:szCs w:val="30"/>
          <w:lang w:val="en-US" w:eastAsia="zh-CN"/>
        </w:rPr>
        <w:t>限值，从源头抓好</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的质量与环境控制，通过完善的试验方法、检测规则来评判其质量标准，</w:t>
      </w:r>
      <w:r>
        <w:rPr>
          <w:rFonts w:hint="default" w:ascii="仿宋_GB2312" w:hAnsi="仿宋_GB2312" w:eastAsia="仿宋_GB2312" w:cs="仿宋_GB2312"/>
          <w:color w:val="auto"/>
          <w:spacing w:val="2"/>
          <w:sz w:val="30"/>
          <w:szCs w:val="30"/>
          <w:lang w:val="en-US" w:eastAsia="zh-CN"/>
        </w:rPr>
        <w:t>确保产品质量的稳定性和可靠性</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提高行业的整体竞争力。同时</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也为行业内的企业提供了明确的发展方向和目标</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引导企业向更高的技术水平和更广的应用领域迈进。</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2.2 编制依据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2.2.1 本标准主要依据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1.《中华人民共和国标准化法》</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2.《四川省标准化监督管理条例》</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3.《地方标准管理办法》</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4.GB/T1.1—2020标准化工作导则第1部分：标准化文件的结构和起草规则</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2.2.2主要参考文献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bookmarkStart w:id="0" w:name="标准参考文献"/>
      <w:bookmarkEnd w:id="0"/>
      <w:r>
        <w:rPr>
          <w:rFonts w:hint="eastAsia" w:ascii="仿宋_GB2312" w:hAnsi="仿宋_GB2312" w:eastAsia="仿宋_GB2312" w:cs="仿宋_GB2312"/>
          <w:color w:val="auto"/>
          <w:spacing w:val="2"/>
          <w:sz w:val="30"/>
          <w:szCs w:val="30"/>
          <w:lang w:val="en-US" w:eastAsia="zh-CN"/>
        </w:rPr>
        <w:t>1.《水泥土配合比设计规程》JGJ/T 233</w:t>
      </w:r>
      <w:r>
        <w:rPr>
          <w:rFonts w:hint="default" w:ascii="仿宋_GB2312" w:hAnsi="仿宋_GB2312" w:eastAsia="仿宋_GB2312" w:cs="仿宋_GB2312"/>
          <w:color w:val="auto"/>
          <w:spacing w:val="2"/>
          <w:sz w:val="30"/>
          <w:szCs w:val="30"/>
          <w:lang w:val="en-US" w:eastAsia="zh-CN"/>
        </w:rPr>
        <w:t>-2011</w:t>
      </w:r>
      <w:r>
        <w:rPr>
          <w:rFonts w:hint="eastAsia" w:ascii="仿宋_GB2312" w:hAnsi="仿宋_GB2312" w:eastAsia="仿宋_GB2312" w:cs="仿宋_GB2312"/>
          <w:color w:val="auto"/>
          <w:spacing w:val="2"/>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2.《土工合成材料应用技术规程》 GB/T 50290-2014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3.《预拌砂浆应用技术规程》JGJT223-2010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4.《预拌流态固化土工程应用技术标准》DBJ51/T 188-2022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5.《土壤固化剂应用技术标准》CJJ/T 286-2018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6.《预拌混凝土》GB/T 14902-2012</w:t>
      </w:r>
      <w:r>
        <w:rPr>
          <w:rFonts w:hint="default" w:ascii="仿宋_GB2312" w:hAnsi="仿宋_GB2312" w:eastAsia="仿宋_GB2312" w:cs="仿宋_GB2312"/>
          <w:color w:val="auto"/>
          <w:spacing w:val="2"/>
          <w:sz w:val="30"/>
          <w:szCs w:val="30"/>
          <w:lang w:val="en-US" w:eastAsia="zh-CN"/>
        </w:rPr>
        <w:t> </w:t>
      </w:r>
      <w:r>
        <w:rPr>
          <w:rFonts w:hint="eastAsia" w:ascii="仿宋_GB2312" w:hAnsi="仿宋_GB2312" w:eastAsia="仿宋_GB2312" w:cs="仿宋_GB2312"/>
          <w:color w:val="auto"/>
          <w:spacing w:val="2"/>
          <w:sz w:val="30"/>
          <w:szCs w:val="30"/>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 xml:space="preserve">7.《土壤固化剂应用技术标准》 CJJ/T286-2018  </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44" w:firstLineChars="200"/>
        <w:textAlignment w:val="baseline"/>
        <w:outlineLvl w:val="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2.3 标准结构和内容说明</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2.3.1标准的结构</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从标准内容来看，本标准规定了磷石膏流态固化土的分类和标记、技术要求、试验方法、检验规则、生产和运输、质量检查与验收、环境管理与环境监测、订货与交货等8个主要核心章。</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582" w:firstLineChars="200"/>
        <w:textAlignment w:val="baseline"/>
        <w:outlineLvl w:val="0"/>
        <w:rPr>
          <w:rFonts w:hint="eastAsia" w:ascii="仿宋_GB2312" w:hAnsi="仿宋_GB2312" w:eastAsia="仿宋_GB2312" w:cs="仿宋_GB2312"/>
          <w:b/>
          <w:bCs/>
          <w:spacing w:val="-5"/>
          <w:sz w:val="30"/>
          <w:szCs w:val="30"/>
          <w:lang w:val="en-US" w:eastAsia="zh-CN"/>
        </w:rPr>
      </w:pPr>
      <w:r>
        <w:rPr>
          <w:rFonts w:hint="eastAsia" w:ascii="仿宋_GB2312" w:hAnsi="仿宋_GB2312" w:eastAsia="仿宋_GB2312" w:cs="仿宋_GB2312"/>
          <w:b/>
          <w:bCs/>
          <w:spacing w:val="-5"/>
          <w:sz w:val="30"/>
          <w:szCs w:val="30"/>
          <w:lang w:val="en-US" w:eastAsia="zh-CN"/>
        </w:rPr>
        <w:t>2.3.2主要技术内容</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本标准</w:t>
      </w:r>
      <w:r>
        <w:rPr>
          <w:rFonts w:hint="default" w:ascii="仿宋_GB2312" w:hAnsi="仿宋_GB2312" w:eastAsia="仿宋_GB2312" w:cs="仿宋_GB2312"/>
          <w:color w:val="auto"/>
          <w:spacing w:val="2"/>
          <w:sz w:val="30"/>
          <w:szCs w:val="30"/>
          <w:lang w:val="en-US" w:eastAsia="zh-CN"/>
        </w:rPr>
        <w:t>制定</w:t>
      </w:r>
      <w:r>
        <w:rPr>
          <w:rFonts w:hint="eastAsia" w:ascii="仿宋_GB2312" w:hAnsi="仿宋_GB2312" w:eastAsia="仿宋_GB2312" w:cs="仿宋_GB2312"/>
          <w:color w:val="auto"/>
          <w:spacing w:val="2"/>
          <w:sz w:val="30"/>
          <w:szCs w:val="30"/>
          <w:lang w:val="en-US" w:eastAsia="zh-CN"/>
        </w:rPr>
        <w:t>了</w:t>
      </w:r>
      <w:r>
        <w:rPr>
          <w:rFonts w:hint="default" w:ascii="仿宋_GB2312" w:hAnsi="仿宋_GB2312" w:eastAsia="仿宋_GB2312" w:cs="仿宋_GB2312"/>
          <w:color w:val="auto"/>
          <w:spacing w:val="2"/>
          <w:sz w:val="30"/>
          <w:szCs w:val="30"/>
          <w:lang w:val="en-US" w:eastAsia="zh-CN"/>
        </w:rPr>
        <w:t>磷石膏流态固化土的生产技术要求</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规范</w:t>
      </w:r>
      <w:r>
        <w:rPr>
          <w:rFonts w:hint="eastAsia" w:ascii="仿宋_GB2312" w:hAnsi="仿宋_GB2312" w:eastAsia="仿宋_GB2312" w:cs="仿宋_GB2312"/>
          <w:color w:val="auto"/>
          <w:spacing w:val="2"/>
          <w:sz w:val="30"/>
          <w:szCs w:val="30"/>
          <w:lang w:val="en-US" w:eastAsia="zh-CN"/>
        </w:rPr>
        <w:t>了</w:t>
      </w:r>
      <w:r>
        <w:rPr>
          <w:rFonts w:hint="default" w:ascii="仿宋_GB2312" w:hAnsi="仿宋_GB2312" w:eastAsia="仿宋_GB2312" w:cs="仿宋_GB2312"/>
          <w:color w:val="auto"/>
          <w:spacing w:val="2"/>
          <w:sz w:val="30"/>
          <w:szCs w:val="30"/>
          <w:lang w:val="en-US" w:eastAsia="zh-CN"/>
        </w:rPr>
        <w:t>原材料的</w:t>
      </w:r>
      <w:r>
        <w:rPr>
          <w:rFonts w:hint="eastAsia" w:ascii="仿宋_GB2312" w:hAnsi="仿宋_GB2312" w:eastAsia="仿宋_GB2312" w:cs="仿宋_GB2312"/>
          <w:color w:val="auto"/>
          <w:spacing w:val="2"/>
          <w:sz w:val="30"/>
          <w:szCs w:val="30"/>
          <w:lang w:val="en-US" w:eastAsia="zh-CN"/>
        </w:rPr>
        <w:t>各项理化性质或相应指标</w:t>
      </w:r>
      <w:r>
        <w:rPr>
          <w:rFonts w:hint="default" w:ascii="仿宋_GB2312" w:hAnsi="仿宋_GB2312" w:eastAsia="仿宋_GB2312" w:cs="仿宋_GB2312"/>
          <w:color w:val="auto"/>
          <w:spacing w:val="2"/>
          <w:sz w:val="30"/>
          <w:szCs w:val="30"/>
          <w:lang w:val="en-US" w:eastAsia="zh-CN"/>
        </w:rPr>
        <w:t>、生产设备的选</w:t>
      </w:r>
      <w:r>
        <w:rPr>
          <w:rFonts w:hint="eastAsia" w:ascii="仿宋_GB2312" w:hAnsi="仿宋_GB2312" w:eastAsia="仿宋_GB2312" w:cs="仿宋_GB2312"/>
          <w:color w:val="auto"/>
          <w:spacing w:val="2"/>
          <w:sz w:val="30"/>
          <w:szCs w:val="30"/>
          <w:lang w:val="en-US" w:eastAsia="zh-CN"/>
        </w:rPr>
        <w:t>型</w:t>
      </w:r>
      <w:r>
        <w:rPr>
          <w:rFonts w:hint="default" w:ascii="仿宋_GB2312" w:hAnsi="仿宋_GB2312" w:eastAsia="仿宋_GB2312" w:cs="仿宋_GB2312"/>
          <w:color w:val="auto"/>
          <w:spacing w:val="2"/>
          <w:sz w:val="30"/>
          <w:szCs w:val="30"/>
          <w:lang w:val="en-US" w:eastAsia="zh-CN"/>
        </w:rPr>
        <w:t>、生产工艺的流程</w:t>
      </w:r>
      <w:r>
        <w:rPr>
          <w:rFonts w:hint="eastAsia" w:ascii="仿宋_GB2312" w:hAnsi="仿宋_GB2312" w:eastAsia="仿宋_GB2312" w:cs="仿宋_GB2312"/>
          <w:color w:val="auto"/>
          <w:spacing w:val="2"/>
          <w:sz w:val="30"/>
          <w:szCs w:val="30"/>
          <w:lang w:val="en-US" w:eastAsia="zh-CN"/>
        </w:rPr>
        <w:t>及环境管理</w:t>
      </w:r>
      <w:r>
        <w:rPr>
          <w:rFonts w:hint="default" w:ascii="仿宋_GB2312" w:hAnsi="仿宋_GB2312" w:eastAsia="仿宋_GB2312" w:cs="仿宋_GB2312"/>
          <w:color w:val="auto"/>
          <w:spacing w:val="2"/>
          <w:sz w:val="30"/>
          <w:szCs w:val="30"/>
          <w:lang w:val="en-US" w:eastAsia="zh-CN"/>
        </w:rPr>
        <w:t>等</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确保产品</w:t>
      </w:r>
      <w:r>
        <w:rPr>
          <w:rFonts w:hint="eastAsia" w:ascii="仿宋_GB2312" w:hAnsi="仿宋_GB2312" w:eastAsia="仿宋_GB2312" w:cs="仿宋_GB2312"/>
          <w:color w:val="auto"/>
          <w:spacing w:val="2"/>
          <w:sz w:val="30"/>
          <w:szCs w:val="30"/>
          <w:lang w:val="en-US" w:eastAsia="zh-CN"/>
        </w:rPr>
        <w:t>的安全性、</w:t>
      </w:r>
      <w:r>
        <w:rPr>
          <w:rFonts w:hint="default" w:ascii="仿宋_GB2312" w:hAnsi="仿宋_GB2312" w:eastAsia="仿宋_GB2312" w:cs="仿宋_GB2312"/>
          <w:color w:val="auto"/>
          <w:spacing w:val="2"/>
          <w:sz w:val="30"/>
          <w:szCs w:val="30"/>
          <w:lang w:val="en-US" w:eastAsia="zh-CN"/>
        </w:rPr>
        <w:t>质量的稳定性和可靠性</w:t>
      </w:r>
      <w:r>
        <w:rPr>
          <w:rFonts w:hint="eastAsia" w:ascii="仿宋_GB2312" w:hAnsi="仿宋_GB2312" w:eastAsia="仿宋_GB2312" w:cs="仿宋_GB2312"/>
          <w:color w:val="auto"/>
          <w:spacing w:val="2"/>
          <w:sz w:val="30"/>
          <w:szCs w:val="30"/>
          <w:lang w:val="en-US" w:eastAsia="zh-CN"/>
        </w:rPr>
        <w:t>、环境上可持续性</w:t>
      </w:r>
      <w:r>
        <w:rPr>
          <w:rFonts w:hint="default" w:ascii="仿宋_GB2312" w:hAnsi="仿宋_GB2312" w:eastAsia="仿宋_GB2312" w:cs="仿宋_GB2312"/>
          <w:color w:val="auto"/>
          <w:spacing w:val="2"/>
          <w:sz w:val="30"/>
          <w:szCs w:val="30"/>
          <w:lang w:val="en-US" w:eastAsia="zh-CN"/>
        </w:rPr>
        <w:t>。</w:t>
      </w:r>
    </w:p>
    <w:p>
      <w:pPr>
        <w:pStyle w:val="3"/>
        <w:keepNext w:val="0"/>
        <w:keepLines w:val="0"/>
        <w:pageBreakBefore w:val="0"/>
        <w:widowControl/>
        <w:kinsoku w:val="0"/>
        <w:wordWrap/>
        <w:overflowPunct/>
        <w:topLinePunct w:val="0"/>
        <w:autoSpaceDE w:val="0"/>
        <w:autoSpaceDN w:val="0"/>
        <w:bidi w:val="0"/>
        <w:adjustRightInd/>
        <w:snapToGrid/>
        <w:spacing w:line="360" w:lineRule="auto"/>
        <w:ind w:firstLine="608" w:firstLineChars="200"/>
        <w:textAlignment w:val="baseline"/>
        <w:rPr>
          <w:rFonts w:hint="eastAsia"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1.源头上控制好质量</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本标准以事前控制为抓手，对水泥、磷石膏原渣、建筑再生骨料、固化剂等原材料的性能要求、理化指标等进行了明确的规定，确保生产出的</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无论在力学及其他性能还是</w:t>
      </w:r>
      <w:r>
        <w:rPr>
          <w:rFonts w:hint="default" w:ascii="仿宋_GB2312" w:hAnsi="仿宋_GB2312" w:eastAsia="仿宋_GB2312" w:cs="仿宋_GB2312"/>
          <w:color w:val="auto"/>
          <w:spacing w:val="2"/>
          <w:sz w:val="30"/>
          <w:szCs w:val="30"/>
          <w:lang w:val="en-US" w:eastAsia="zh-CN"/>
        </w:rPr>
        <w:t>重金属浸出物毒性</w:t>
      </w:r>
      <w:r>
        <w:rPr>
          <w:rFonts w:hint="eastAsia" w:ascii="仿宋_GB2312" w:hAnsi="仿宋_GB2312" w:eastAsia="仿宋_GB2312" w:cs="仿宋_GB2312"/>
          <w:color w:val="auto"/>
          <w:spacing w:val="2"/>
          <w:sz w:val="30"/>
          <w:szCs w:val="30"/>
          <w:lang w:val="en-US" w:eastAsia="zh-CN"/>
        </w:rPr>
        <w:t>等方面都能从源头得到有效的控制</w:t>
      </w:r>
      <w:r>
        <w:rPr>
          <w:rFonts w:hint="eastAsia" w:ascii="仿宋_GB2312" w:hAnsi="仿宋_GB2312" w:eastAsia="仿宋_GB2312" w:cs="仿宋_GB2312"/>
          <w:snapToGrid w:val="0"/>
          <w:color w:val="auto"/>
          <w:spacing w:val="2"/>
          <w:kern w:val="0"/>
          <w:sz w:val="30"/>
          <w:szCs w:val="30"/>
          <w:lang w:val="en-US" w:eastAsia="zh-CN" w:bidi="ar-SA"/>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snapToGrid w:val="0"/>
          <w:color w:val="auto"/>
          <w:spacing w:val="2"/>
          <w:kern w:val="0"/>
          <w:sz w:val="30"/>
          <w:szCs w:val="30"/>
          <w:lang w:val="en-US" w:eastAsia="zh-CN" w:bidi="ar-SA"/>
        </w:rPr>
        <w:t>本标准</w:t>
      </w:r>
      <w:r>
        <w:rPr>
          <w:rFonts w:hint="eastAsia" w:ascii="仿宋_GB2312" w:hAnsi="仿宋_GB2312" w:eastAsia="仿宋_GB2312" w:cs="仿宋_GB2312"/>
          <w:color w:val="auto"/>
          <w:spacing w:val="2"/>
          <w:sz w:val="30"/>
          <w:szCs w:val="30"/>
          <w:lang w:val="en-US" w:eastAsia="zh-CN"/>
        </w:rPr>
        <w:t>明确了建筑再生骨料的理化性质(有害物质含量、</w:t>
      </w:r>
      <w:r>
        <w:rPr>
          <w:rFonts w:hint="default" w:ascii="仿宋_GB2312" w:hAnsi="仿宋_GB2312" w:eastAsia="仿宋_GB2312" w:cs="仿宋_GB2312"/>
          <w:color w:val="auto"/>
          <w:spacing w:val="2"/>
          <w:sz w:val="30"/>
          <w:szCs w:val="30"/>
          <w:lang w:val="en-US" w:eastAsia="zh-CN"/>
        </w:rPr>
        <w:t>建筑再生骨料坚固性指标</w:t>
      </w:r>
      <w:r>
        <w:rPr>
          <w:rFonts w:hint="eastAsia" w:ascii="仿宋_GB2312" w:hAnsi="仿宋_GB2312" w:eastAsia="仿宋_GB2312" w:cs="仿宋_GB2312"/>
          <w:color w:val="auto"/>
          <w:spacing w:val="2"/>
          <w:sz w:val="30"/>
          <w:szCs w:val="30"/>
          <w:lang w:val="en-US" w:eastAsia="zh-CN"/>
        </w:rPr>
        <w:t>、建筑再生骨料压碎指标、</w:t>
      </w:r>
      <w:r>
        <w:rPr>
          <w:rFonts w:hint="default" w:ascii="仿宋_GB2312" w:hAnsi="仿宋_GB2312" w:eastAsia="仿宋_GB2312" w:cs="仿宋_GB2312"/>
          <w:color w:val="auto"/>
          <w:spacing w:val="2"/>
          <w:sz w:val="30"/>
          <w:szCs w:val="30"/>
          <w:lang w:val="en-US" w:eastAsia="zh-CN"/>
        </w:rPr>
        <w:t>建筑再生骨料表观密度堆积密度和空隙率</w:t>
      </w:r>
      <w:r>
        <w:rPr>
          <w:rFonts w:hint="eastAsia" w:ascii="仿宋_GB2312" w:hAnsi="仿宋_GB2312" w:eastAsia="仿宋_GB2312" w:cs="仿宋_GB2312"/>
          <w:color w:val="auto"/>
          <w:spacing w:val="2"/>
          <w:sz w:val="30"/>
          <w:szCs w:val="30"/>
          <w:lang w:val="en-US" w:eastAsia="zh-CN"/>
        </w:rPr>
        <w:t>、再生骨料的</w:t>
      </w:r>
      <w:r>
        <w:rPr>
          <w:rFonts w:hint="default" w:ascii="仿宋_GB2312" w:hAnsi="仿宋_GB2312" w:eastAsia="仿宋_GB2312" w:cs="仿宋_GB2312"/>
          <w:color w:val="auto"/>
          <w:spacing w:val="2"/>
          <w:sz w:val="30"/>
          <w:szCs w:val="30"/>
          <w:lang w:val="en-US" w:eastAsia="zh-CN"/>
        </w:rPr>
        <w:t>其他物理特性</w:t>
      </w:r>
      <w:r>
        <w:rPr>
          <w:rFonts w:hint="eastAsia" w:ascii="仿宋_GB2312" w:hAnsi="仿宋_GB2312" w:eastAsia="仿宋_GB2312" w:cs="仿宋_GB2312"/>
          <w:color w:val="auto"/>
          <w:spacing w:val="2"/>
          <w:sz w:val="30"/>
          <w:szCs w:val="30"/>
          <w:lang w:val="en-US" w:eastAsia="zh-CN"/>
        </w:rPr>
        <w:t>)及检测方法、磷石膏的性能指标及检测方法、固化剂的物理指标、外加剂及矿物掺和料的性能指标，给生产企业提供了可靠的执行依据与标准供其使用。</w:t>
      </w:r>
    </w:p>
    <w:p>
      <w:pPr>
        <w:pStyle w:val="3"/>
        <w:keepNext w:val="0"/>
        <w:keepLines w:val="0"/>
        <w:pageBreakBefore w:val="0"/>
        <w:widowControl/>
        <w:kinsoku w:val="0"/>
        <w:wordWrap/>
        <w:overflowPunct/>
        <w:topLinePunct w:val="0"/>
        <w:autoSpaceDE w:val="0"/>
        <w:autoSpaceDN w:val="0"/>
        <w:bidi w:val="0"/>
        <w:adjustRightInd/>
        <w:snapToGrid/>
        <w:spacing w:line="360" w:lineRule="auto"/>
        <w:ind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snapToGrid w:val="0"/>
          <w:color w:val="auto"/>
          <w:spacing w:val="2"/>
          <w:kern w:val="0"/>
          <w:sz w:val="30"/>
          <w:szCs w:val="30"/>
          <w:lang w:val="en-US" w:eastAsia="zh-CN" w:bidi="ar-SA"/>
        </w:rPr>
        <w:t>2.</w:t>
      </w:r>
      <w:r>
        <w:rPr>
          <w:rFonts w:hint="eastAsia" w:ascii="仿宋_GB2312" w:hAnsi="仿宋_GB2312" w:eastAsia="仿宋_GB2312" w:cs="仿宋_GB2312"/>
          <w:color w:val="auto"/>
          <w:spacing w:val="2"/>
          <w:sz w:val="30"/>
          <w:szCs w:val="30"/>
          <w:lang w:val="en-US" w:eastAsia="zh-CN"/>
        </w:rPr>
        <w:t>磷石膏流态固化土配合比</w:t>
      </w:r>
    </w:p>
    <w:p>
      <w:pPr>
        <w:pStyle w:val="3"/>
        <w:keepNext w:val="0"/>
        <w:keepLines w:val="0"/>
        <w:pageBreakBefore w:val="0"/>
        <w:widowControl/>
        <w:kinsoku w:val="0"/>
        <w:wordWrap/>
        <w:overflowPunct/>
        <w:topLinePunct w:val="0"/>
        <w:autoSpaceDE w:val="0"/>
        <w:autoSpaceDN w:val="0"/>
        <w:bidi w:val="0"/>
        <w:adjustRightInd/>
        <w:snapToGrid/>
        <w:spacing w:line="360" w:lineRule="auto"/>
        <w:ind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snapToGrid w:val="0"/>
          <w:color w:val="auto"/>
          <w:spacing w:val="2"/>
          <w:kern w:val="0"/>
          <w:sz w:val="30"/>
          <w:szCs w:val="30"/>
          <w:lang w:val="en-US" w:eastAsia="zh-CN" w:bidi="ar-SA"/>
        </w:rPr>
        <w:t>自贡市鑫友建材有限责任公司</w:t>
      </w:r>
      <w:r>
        <w:rPr>
          <w:rFonts w:hint="eastAsia" w:ascii="仿宋_GB2312" w:hAnsi="仿宋_GB2312" w:eastAsia="仿宋_GB2312" w:cs="仿宋_GB2312"/>
          <w:snapToGrid w:val="0"/>
          <w:color w:val="auto"/>
          <w:spacing w:val="2"/>
          <w:kern w:val="0"/>
          <w:sz w:val="30"/>
          <w:szCs w:val="30"/>
          <w:lang w:val="en-US" w:eastAsia="zh-CN" w:bidi="ar-SA"/>
        </w:rPr>
        <w:t>（本标准主编单位之一）一直潜力研发固化剂（生产制备</w:t>
      </w:r>
      <w:r>
        <w:rPr>
          <w:rFonts w:hint="default" w:ascii="仿宋_GB2312" w:hAnsi="仿宋_GB2312" w:eastAsia="仿宋_GB2312" w:cs="仿宋_GB2312"/>
          <w:snapToGrid w:val="0"/>
          <w:color w:val="auto"/>
          <w:spacing w:val="2"/>
          <w:kern w:val="0"/>
          <w:sz w:val="30"/>
          <w:szCs w:val="30"/>
          <w:lang w:val="en-US" w:eastAsia="zh-CN" w:bidi="ar-SA"/>
        </w:rPr>
        <w:t>磷石膏流态固化土</w:t>
      </w:r>
      <w:r>
        <w:rPr>
          <w:rFonts w:hint="eastAsia" w:ascii="仿宋_GB2312" w:hAnsi="仿宋_GB2312" w:eastAsia="仿宋_GB2312" w:cs="仿宋_GB2312"/>
          <w:snapToGrid w:val="0"/>
          <w:color w:val="auto"/>
          <w:spacing w:val="2"/>
          <w:kern w:val="0"/>
          <w:sz w:val="30"/>
          <w:szCs w:val="30"/>
          <w:lang w:val="en-US" w:eastAsia="zh-CN" w:bidi="ar-SA"/>
        </w:rPr>
        <w:t>的核心组分） 研发，完成过无数次的实（试）验，并在实（试）验中对固化剂进行不断的改良、调整，得到了目前较为稳定的固化剂产品。在本地方标准编制过程中，固化剂已先后投入试（实）验项目进行验证，编制组将</w:t>
      </w:r>
      <w:r>
        <w:rPr>
          <w:rFonts w:hint="default" w:ascii="仿宋_GB2312" w:hAnsi="仿宋_GB2312" w:eastAsia="仿宋_GB2312" w:cs="仿宋_GB2312"/>
          <w:snapToGrid w:val="0"/>
          <w:color w:val="auto"/>
          <w:spacing w:val="2"/>
          <w:kern w:val="0"/>
          <w:sz w:val="30"/>
          <w:szCs w:val="30"/>
          <w:lang w:val="en-US" w:eastAsia="zh-CN" w:bidi="ar-SA"/>
        </w:rPr>
        <w:t>磷石膏流态固化土混合料</w:t>
      </w:r>
      <w:r>
        <w:rPr>
          <w:rFonts w:hint="eastAsia" w:ascii="仿宋_GB2312" w:hAnsi="仿宋_GB2312" w:eastAsia="仿宋_GB2312" w:cs="仿宋_GB2312"/>
          <w:snapToGrid w:val="0"/>
          <w:color w:val="auto"/>
          <w:spacing w:val="2"/>
          <w:kern w:val="0"/>
          <w:sz w:val="30"/>
          <w:szCs w:val="30"/>
          <w:lang w:val="en-US" w:eastAsia="zh-CN" w:bidi="ar-SA"/>
        </w:rPr>
        <w:t>试件</w:t>
      </w:r>
      <w:r>
        <w:rPr>
          <w:rFonts w:hint="default" w:ascii="仿宋_GB2312" w:hAnsi="仿宋_GB2312" w:eastAsia="仿宋_GB2312" w:cs="仿宋_GB2312"/>
          <w:snapToGrid w:val="0"/>
          <w:color w:val="auto"/>
          <w:spacing w:val="2"/>
          <w:kern w:val="0"/>
          <w:sz w:val="30"/>
          <w:szCs w:val="30"/>
          <w:lang w:val="en-US" w:eastAsia="zh-CN" w:bidi="ar-SA"/>
        </w:rPr>
        <w:t>在经过28天的标准养护期后，</w:t>
      </w:r>
      <w:r>
        <w:rPr>
          <w:rFonts w:hint="eastAsia" w:ascii="仿宋_GB2312" w:hAnsi="仿宋_GB2312" w:eastAsia="仿宋_GB2312" w:cs="仿宋_GB2312"/>
          <w:snapToGrid w:val="0"/>
          <w:color w:val="auto"/>
          <w:spacing w:val="2"/>
          <w:kern w:val="0"/>
          <w:sz w:val="30"/>
          <w:szCs w:val="30"/>
          <w:lang w:val="en-US" w:eastAsia="zh-CN" w:bidi="ar-SA"/>
        </w:rPr>
        <w:t>按照《固体废物浸出毒性浸出方法水平振荡法》</w:t>
      </w:r>
      <w:r>
        <w:rPr>
          <w:rFonts w:hint="default" w:ascii="仿宋_GB2312" w:hAnsi="仿宋_GB2312" w:eastAsia="仿宋_GB2312" w:cs="仿宋_GB2312"/>
          <w:snapToGrid w:val="0"/>
          <w:color w:val="auto"/>
          <w:spacing w:val="2"/>
          <w:kern w:val="0"/>
          <w:sz w:val="30"/>
          <w:szCs w:val="30"/>
          <w:lang w:val="en-US" w:eastAsia="zh-CN" w:bidi="ar-SA"/>
        </w:rPr>
        <w:t>HJ 557-2010进行浸出试验</w:t>
      </w:r>
      <w:r>
        <w:rPr>
          <w:rFonts w:hint="eastAsia" w:ascii="仿宋_GB2312" w:hAnsi="仿宋_GB2312" w:eastAsia="仿宋_GB2312" w:cs="仿宋_GB2312"/>
          <w:snapToGrid w:val="0"/>
          <w:color w:val="auto"/>
          <w:spacing w:val="2"/>
          <w:kern w:val="0"/>
          <w:sz w:val="30"/>
          <w:szCs w:val="30"/>
          <w:lang w:val="en-US" w:eastAsia="zh-CN" w:bidi="ar-SA"/>
        </w:rPr>
        <w:t>达31次</w:t>
      </w:r>
      <w:r>
        <w:rPr>
          <w:rFonts w:hint="default" w:ascii="仿宋_GB2312" w:hAnsi="仿宋_GB2312" w:eastAsia="仿宋_GB2312" w:cs="仿宋_GB2312"/>
          <w:snapToGrid w:val="0"/>
          <w:color w:val="auto"/>
          <w:spacing w:val="2"/>
          <w:kern w:val="0"/>
          <w:sz w:val="30"/>
          <w:szCs w:val="30"/>
          <w:lang w:val="en-US" w:eastAsia="zh-CN" w:bidi="ar-SA"/>
        </w:rPr>
        <w:t>，</w:t>
      </w:r>
      <w:r>
        <w:rPr>
          <w:rFonts w:hint="eastAsia" w:ascii="仿宋_GB2312" w:hAnsi="仿宋_GB2312" w:eastAsia="仿宋_GB2312" w:cs="仿宋_GB2312"/>
          <w:snapToGrid w:val="0"/>
          <w:color w:val="auto"/>
          <w:spacing w:val="2"/>
          <w:kern w:val="0"/>
          <w:sz w:val="30"/>
          <w:szCs w:val="30"/>
          <w:lang w:val="en-US" w:eastAsia="zh-CN" w:bidi="ar-SA"/>
        </w:rPr>
        <w:t>每次</w:t>
      </w:r>
      <w:r>
        <w:rPr>
          <w:rFonts w:hint="default" w:ascii="仿宋_GB2312" w:hAnsi="仿宋_GB2312" w:eastAsia="仿宋_GB2312" w:cs="仿宋_GB2312"/>
          <w:snapToGrid w:val="0"/>
          <w:color w:val="auto"/>
          <w:spacing w:val="2"/>
          <w:kern w:val="0"/>
          <w:sz w:val="30"/>
          <w:szCs w:val="30"/>
          <w:lang w:val="en-US" w:eastAsia="zh-CN" w:bidi="ar-SA"/>
        </w:rPr>
        <w:t>测得的浸出液中任何一项特征污染物的浓度</w:t>
      </w:r>
      <w:r>
        <w:rPr>
          <w:rFonts w:hint="eastAsia" w:ascii="仿宋_GB2312" w:hAnsi="仿宋_GB2312" w:eastAsia="仿宋_GB2312" w:cs="仿宋_GB2312"/>
          <w:snapToGrid w:val="0"/>
          <w:color w:val="auto"/>
          <w:spacing w:val="2"/>
          <w:kern w:val="0"/>
          <w:sz w:val="30"/>
          <w:szCs w:val="30"/>
          <w:lang w:val="en-US" w:eastAsia="zh-CN" w:bidi="ar-SA"/>
        </w:rPr>
        <w:t>均未</w:t>
      </w:r>
      <w:r>
        <w:rPr>
          <w:rFonts w:hint="default" w:ascii="仿宋_GB2312" w:hAnsi="仿宋_GB2312" w:eastAsia="仿宋_GB2312" w:cs="仿宋_GB2312"/>
          <w:snapToGrid w:val="0"/>
          <w:color w:val="auto"/>
          <w:spacing w:val="2"/>
          <w:kern w:val="0"/>
          <w:sz w:val="30"/>
          <w:szCs w:val="30"/>
          <w:lang w:val="en-US" w:eastAsia="zh-CN" w:bidi="ar-SA"/>
        </w:rPr>
        <w:t>超过</w:t>
      </w:r>
      <w:r>
        <w:rPr>
          <w:rFonts w:hint="eastAsia" w:ascii="仿宋_GB2312" w:hAnsi="仿宋_GB2312" w:eastAsia="仿宋_GB2312" w:cs="仿宋_GB2312"/>
          <w:snapToGrid w:val="0"/>
          <w:color w:val="auto"/>
          <w:spacing w:val="2"/>
          <w:kern w:val="0"/>
          <w:sz w:val="30"/>
          <w:szCs w:val="30"/>
          <w:lang w:val="en-US" w:eastAsia="zh-CN" w:bidi="ar-SA"/>
        </w:rPr>
        <w:t>国家规定标准值</w:t>
      </w:r>
      <w:r>
        <w:rPr>
          <w:rFonts w:hint="eastAsia" w:ascii="仿宋_GB2312" w:hAnsi="仿宋_GB2312" w:eastAsia="仿宋_GB2312" w:cs="仿宋_GB2312"/>
          <w:color w:val="auto"/>
          <w:spacing w:val="2"/>
          <w:sz w:val="30"/>
          <w:szCs w:val="30"/>
          <w:lang w:val="en-US" w:eastAsia="zh-CN"/>
        </w:rPr>
        <w:t>，消除了浸出物污染的顾虑。</w:t>
      </w:r>
    </w:p>
    <w:p>
      <w:pPr>
        <w:pStyle w:val="3"/>
        <w:keepNext w:val="0"/>
        <w:keepLines w:val="0"/>
        <w:pageBreakBefore w:val="0"/>
        <w:widowControl/>
        <w:kinsoku w:val="0"/>
        <w:wordWrap/>
        <w:overflowPunct/>
        <w:topLinePunct w:val="0"/>
        <w:autoSpaceDE w:val="0"/>
        <w:autoSpaceDN w:val="0"/>
        <w:bidi w:val="0"/>
        <w:adjustRightInd/>
        <w:snapToGrid/>
        <w:spacing w:line="360" w:lineRule="auto"/>
        <w:ind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因受固化剂种类及建筑再生骨料固有属性的影响，磷石膏流态固化土配合比设计差异极大，</w:t>
      </w:r>
      <w:r>
        <w:rPr>
          <w:rFonts w:hint="default" w:ascii="仿宋_GB2312" w:hAnsi="仿宋_GB2312" w:eastAsia="仿宋_GB2312" w:cs="仿宋_GB2312"/>
          <w:color w:val="auto"/>
          <w:spacing w:val="2"/>
          <w:sz w:val="30"/>
          <w:szCs w:val="30"/>
          <w:lang w:val="en-US" w:eastAsia="zh-CN"/>
        </w:rPr>
        <w:t>磷石膏流态固化土应根据工程结构形式、施工工艺以及环境因素进行配合比设计，并应在综合考虑磷石膏流态固化土</w:t>
      </w:r>
      <w:r>
        <w:rPr>
          <w:rFonts w:hint="eastAsia" w:ascii="仿宋_GB2312" w:hAnsi="仿宋_GB2312" w:eastAsia="仿宋_GB2312" w:cs="仿宋_GB2312"/>
          <w:color w:val="auto"/>
          <w:spacing w:val="2"/>
          <w:sz w:val="30"/>
          <w:szCs w:val="30"/>
          <w:lang w:val="en-US" w:eastAsia="zh-CN"/>
        </w:rPr>
        <w:t>抗压</w:t>
      </w:r>
      <w:r>
        <w:rPr>
          <w:rFonts w:hint="default" w:ascii="仿宋_GB2312" w:hAnsi="仿宋_GB2312" w:eastAsia="仿宋_GB2312" w:cs="仿宋_GB2312"/>
          <w:color w:val="auto"/>
          <w:spacing w:val="2"/>
          <w:sz w:val="30"/>
          <w:szCs w:val="30"/>
          <w:lang w:val="en-US" w:eastAsia="zh-CN"/>
        </w:rPr>
        <w:t>强度、耐久性以及其他性能要求的基础上，</w:t>
      </w:r>
      <w:r>
        <w:rPr>
          <w:rFonts w:hint="eastAsia" w:ascii="仿宋_GB2312" w:hAnsi="仿宋_GB2312" w:eastAsia="仿宋_GB2312" w:cs="仿宋_GB2312"/>
          <w:color w:val="auto"/>
          <w:spacing w:val="2"/>
          <w:sz w:val="30"/>
          <w:szCs w:val="30"/>
          <w:lang w:val="en-US" w:eastAsia="zh-CN"/>
        </w:rPr>
        <w:t>首先</w:t>
      </w:r>
      <w:r>
        <w:rPr>
          <w:rFonts w:hint="default" w:ascii="仿宋_GB2312" w:hAnsi="仿宋_GB2312" w:eastAsia="仿宋_GB2312" w:cs="仿宋_GB2312"/>
          <w:color w:val="auto"/>
          <w:spacing w:val="2"/>
          <w:sz w:val="30"/>
          <w:szCs w:val="30"/>
          <w:lang w:val="en-US" w:eastAsia="zh-CN"/>
        </w:rPr>
        <w:t>计算初步配合比，经</w:t>
      </w:r>
      <w:r>
        <w:rPr>
          <w:rFonts w:hint="eastAsia" w:ascii="仿宋_GB2312" w:hAnsi="仿宋_GB2312" w:eastAsia="仿宋_GB2312" w:cs="仿宋_GB2312"/>
          <w:color w:val="auto"/>
          <w:spacing w:val="2"/>
          <w:sz w:val="30"/>
          <w:szCs w:val="30"/>
          <w:lang w:val="en-US" w:eastAsia="zh-CN"/>
        </w:rPr>
        <w:t>实</w:t>
      </w:r>
      <w:r>
        <w:rPr>
          <w:rFonts w:hint="default" w:ascii="仿宋_GB2312" w:hAnsi="仿宋_GB2312" w:eastAsia="仿宋_GB2312" w:cs="仿宋_GB2312"/>
          <w:color w:val="auto"/>
          <w:spacing w:val="2"/>
          <w:sz w:val="30"/>
          <w:szCs w:val="30"/>
          <w:lang w:val="en-US" w:eastAsia="zh-CN"/>
        </w:rPr>
        <w:t>验室试配、调整得出满足要求的基准配合比，</w:t>
      </w:r>
      <w:r>
        <w:rPr>
          <w:rFonts w:hint="eastAsia" w:ascii="仿宋_GB2312" w:hAnsi="仿宋_GB2312" w:eastAsia="仿宋_GB2312" w:cs="仿宋_GB2312"/>
          <w:color w:val="auto"/>
          <w:spacing w:val="2"/>
          <w:sz w:val="30"/>
          <w:szCs w:val="30"/>
          <w:lang w:val="en-US" w:eastAsia="zh-CN"/>
        </w:rPr>
        <w:t>再根据</w:t>
      </w:r>
      <w:r>
        <w:rPr>
          <w:rFonts w:hint="default" w:ascii="仿宋_GB2312" w:hAnsi="仿宋_GB2312" w:eastAsia="仿宋_GB2312" w:cs="仿宋_GB2312"/>
          <w:color w:val="auto"/>
          <w:spacing w:val="2"/>
          <w:sz w:val="30"/>
          <w:szCs w:val="30"/>
          <w:lang w:val="en-US" w:eastAsia="zh-CN"/>
        </w:rPr>
        <w:t>强度、耐久性、耐水性等试验结果确定</w:t>
      </w:r>
      <w:r>
        <w:rPr>
          <w:rFonts w:hint="eastAsia" w:ascii="仿宋_GB2312" w:hAnsi="仿宋_GB2312" w:eastAsia="仿宋_GB2312" w:cs="仿宋_GB2312"/>
          <w:color w:val="auto"/>
          <w:spacing w:val="2"/>
          <w:sz w:val="30"/>
          <w:szCs w:val="30"/>
          <w:lang w:val="en-US" w:eastAsia="zh-CN"/>
        </w:rPr>
        <w:t>出实</w:t>
      </w:r>
      <w:r>
        <w:rPr>
          <w:rFonts w:hint="default" w:ascii="仿宋_GB2312" w:hAnsi="仿宋_GB2312" w:eastAsia="仿宋_GB2312" w:cs="仿宋_GB2312"/>
          <w:color w:val="auto"/>
          <w:spacing w:val="2"/>
          <w:sz w:val="30"/>
          <w:szCs w:val="30"/>
          <w:lang w:val="en-US" w:eastAsia="zh-CN"/>
        </w:rPr>
        <w:t>验室配合比。</w:t>
      </w:r>
      <w:r>
        <w:rPr>
          <w:rFonts w:hint="eastAsia" w:ascii="仿宋_GB2312" w:hAnsi="仿宋_GB2312" w:eastAsia="仿宋_GB2312" w:cs="仿宋_GB2312"/>
          <w:color w:val="auto"/>
          <w:spacing w:val="2"/>
          <w:sz w:val="30"/>
          <w:szCs w:val="30"/>
          <w:lang w:val="en-US" w:eastAsia="zh-CN"/>
        </w:rPr>
        <w:t>下表是</w:t>
      </w:r>
      <w:r>
        <w:rPr>
          <w:rFonts w:hint="default" w:ascii="仿宋_GB2312" w:hAnsi="仿宋_GB2312" w:eastAsia="仿宋_GB2312" w:cs="仿宋_GB2312"/>
          <w:color w:val="auto"/>
          <w:spacing w:val="2"/>
          <w:sz w:val="30"/>
          <w:szCs w:val="30"/>
          <w:lang w:val="en-US" w:eastAsia="zh-CN"/>
        </w:rPr>
        <w:t>生产试验</w:t>
      </w:r>
      <w:r>
        <w:rPr>
          <w:rFonts w:hint="eastAsia" w:ascii="仿宋_GB2312" w:hAnsi="仿宋_GB2312" w:eastAsia="仿宋_GB2312" w:cs="仿宋_GB2312"/>
          <w:color w:val="auto"/>
          <w:spacing w:val="2"/>
          <w:sz w:val="30"/>
          <w:szCs w:val="30"/>
          <w:lang w:val="en-US" w:eastAsia="zh-CN"/>
        </w:rPr>
        <w:t>中得出</w:t>
      </w:r>
      <w:r>
        <w:rPr>
          <w:rFonts w:hint="default" w:ascii="仿宋_GB2312" w:hAnsi="仿宋_GB2312" w:eastAsia="仿宋_GB2312" w:cs="仿宋_GB2312"/>
          <w:color w:val="auto"/>
          <w:spacing w:val="2"/>
          <w:sz w:val="30"/>
          <w:szCs w:val="30"/>
          <w:lang w:val="en-US" w:eastAsia="zh-CN"/>
        </w:rPr>
        <w:t>的配合比，</w:t>
      </w:r>
      <w:r>
        <w:rPr>
          <w:rFonts w:hint="eastAsia" w:ascii="仿宋_GB2312" w:hAnsi="仿宋_GB2312" w:eastAsia="仿宋_GB2312" w:cs="仿宋_GB2312"/>
          <w:color w:val="auto"/>
          <w:spacing w:val="2"/>
          <w:sz w:val="30"/>
          <w:szCs w:val="30"/>
          <w:lang w:val="en-US" w:eastAsia="zh-CN"/>
        </w:rPr>
        <w:t>但</w:t>
      </w:r>
      <w:r>
        <w:rPr>
          <w:rFonts w:hint="default" w:ascii="仿宋_GB2312" w:hAnsi="仿宋_GB2312" w:eastAsia="仿宋_GB2312" w:cs="仿宋_GB2312"/>
          <w:color w:val="auto"/>
          <w:spacing w:val="2"/>
          <w:sz w:val="30"/>
          <w:szCs w:val="30"/>
          <w:lang w:val="en-US" w:eastAsia="zh-CN"/>
        </w:rPr>
        <w:t>因</w:t>
      </w:r>
      <w:r>
        <w:rPr>
          <w:rFonts w:hint="eastAsia" w:ascii="仿宋_GB2312" w:hAnsi="仿宋_GB2312" w:eastAsia="仿宋_GB2312" w:cs="仿宋_GB2312"/>
          <w:color w:val="auto"/>
          <w:spacing w:val="2"/>
          <w:sz w:val="30"/>
          <w:szCs w:val="30"/>
          <w:lang w:val="en-US" w:eastAsia="zh-CN"/>
        </w:rPr>
        <w:t>受固化剂种类及</w:t>
      </w:r>
      <w:r>
        <w:rPr>
          <w:rFonts w:hint="default" w:ascii="仿宋_GB2312" w:hAnsi="仿宋_GB2312" w:eastAsia="仿宋_GB2312" w:cs="仿宋_GB2312"/>
          <w:color w:val="auto"/>
          <w:spacing w:val="2"/>
          <w:sz w:val="30"/>
          <w:szCs w:val="30"/>
          <w:lang w:val="en-US" w:eastAsia="zh-CN"/>
        </w:rPr>
        <w:t>建筑再生骨料压碎指标、坚固性</w:t>
      </w:r>
      <w:r>
        <w:rPr>
          <w:rFonts w:hint="eastAsia" w:ascii="仿宋_GB2312" w:hAnsi="仿宋_GB2312" w:eastAsia="仿宋_GB2312" w:cs="仿宋_GB2312"/>
          <w:color w:val="auto"/>
          <w:spacing w:val="2"/>
          <w:sz w:val="30"/>
          <w:szCs w:val="30"/>
          <w:lang w:val="en-US" w:eastAsia="zh-CN"/>
        </w:rPr>
        <w:t>等</w:t>
      </w:r>
      <w:r>
        <w:rPr>
          <w:rFonts w:hint="default" w:ascii="仿宋_GB2312" w:hAnsi="仿宋_GB2312" w:eastAsia="仿宋_GB2312" w:cs="仿宋_GB2312"/>
          <w:color w:val="auto"/>
          <w:spacing w:val="2"/>
          <w:sz w:val="30"/>
          <w:szCs w:val="30"/>
          <w:lang w:val="en-US" w:eastAsia="zh-CN"/>
        </w:rPr>
        <w:t>指标不同而差异明显，</w:t>
      </w:r>
      <w:r>
        <w:rPr>
          <w:rFonts w:hint="eastAsia" w:ascii="仿宋_GB2312" w:hAnsi="仿宋_GB2312" w:eastAsia="仿宋_GB2312" w:cs="仿宋_GB2312"/>
          <w:color w:val="auto"/>
          <w:spacing w:val="2"/>
          <w:sz w:val="30"/>
          <w:szCs w:val="30"/>
          <w:lang w:val="en-US" w:eastAsia="zh-CN"/>
        </w:rPr>
        <w:t>下表中的</w:t>
      </w:r>
      <w:r>
        <w:rPr>
          <w:rFonts w:hint="default" w:ascii="仿宋_GB2312" w:hAnsi="仿宋_GB2312" w:eastAsia="仿宋_GB2312" w:cs="仿宋_GB2312"/>
          <w:color w:val="auto"/>
          <w:spacing w:val="2"/>
          <w:sz w:val="30"/>
          <w:szCs w:val="30"/>
          <w:lang w:val="en-US" w:eastAsia="zh-CN"/>
        </w:rPr>
        <w:t xml:space="preserve">配合比仅供参考。 </w:t>
      </w:r>
    </w:p>
    <w:p>
      <w:pPr>
        <w:keepNext w:val="0"/>
        <w:keepLines w:val="0"/>
        <w:widowControl/>
        <w:suppressLineNumbers w:val="0"/>
        <w:jc w:val="center"/>
        <w:rPr>
          <w:rFonts w:hint="default" w:ascii="Times New Roman" w:hAnsi="Times New Roman" w:eastAsia="宋体" w:cs="Times New Roman"/>
          <w:b/>
          <w:bCs/>
          <w:color w:val="auto"/>
          <w:kern w:val="0"/>
          <w:sz w:val="30"/>
          <w:szCs w:val="30"/>
          <w:lang w:val="en-US" w:eastAsia="zh-CN" w:bidi="ar"/>
        </w:rPr>
      </w:pPr>
      <w:r>
        <w:rPr>
          <w:rFonts w:hint="eastAsia" w:ascii="黑体" w:hAnsi="黑体" w:eastAsia="黑体" w:cs="黑体"/>
          <w:b w:val="0"/>
          <w:bCs w:val="0"/>
          <w:color w:val="auto"/>
          <w:kern w:val="0"/>
          <w:sz w:val="30"/>
          <w:szCs w:val="30"/>
          <w:lang w:val="en-US" w:eastAsia="zh-CN" w:bidi="ar"/>
        </w:rPr>
        <w:t xml:space="preserve"> </w:t>
      </w:r>
      <w:r>
        <w:rPr>
          <w:rFonts w:hint="eastAsia" w:ascii="黑体" w:hAnsi="黑体" w:eastAsia="黑体" w:cs="黑体"/>
          <w:b w:val="0"/>
          <w:bCs w:val="0"/>
          <w:i w:val="0"/>
          <w:iCs w:val="0"/>
          <w:color w:val="auto"/>
          <w:kern w:val="0"/>
          <w:sz w:val="30"/>
          <w:szCs w:val="30"/>
          <w:lang w:val="en-US" w:eastAsia="zh-CN" w:bidi="ar"/>
        </w:rPr>
        <w:t>磷石膏流态固化土</w:t>
      </w:r>
      <w:r>
        <w:rPr>
          <w:rFonts w:hint="eastAsia" w:ascii="黑体" w:hAnsi="黑体" w:eastAsia="黑体" w:cs="黑体"/>
          <w:b w:val="0"/>
          <w:bCs w:val="0"/>
          <w:i w:val="0"/>
          <w:iCs w:val="0"/>
          <w:color w:val="auto"/>
          <w:spacing w:val="0"/>
          <w:sz w:val="30"/>
          <w:szCs w:val="30"/>
          <w:lang w:val="en-US" w:eastAsia="zh-CN" w:bidi="ar"/>
        </w:rPr>
        <w:t>配合比设计相关指标</w:t>
      </w:r>
    </w:p>
    <w:tbl>
      <w:tblPr>
        <w:tblStyle w:val="9"/>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3"/>
        <w:gridCol w:w="947"/>
        <w:gridCol w:w="646"/>
        <w:gridCol w:w="708"/>
        <w:gridCol w:w="1139"/>
        <w:gridCol w:w="698"/>
        <w:gridCol w:w="640"/>
        <w:gridCol w:w="653"/>
        <w:gridCol w:w="694"/>
        <w:gridCol w:w="776"/>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atLeast"/>
          <w:tblHeader/>
        </w:trPr>
        <w:tc>
          <w:tcPr>
            <w:tcW w:w="553"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pacing w:val="-1"/>
                <w:sz w:val="21"/>
                <w:szCs w:val="21"/>
                <w:lang w:val="en-US" w:eastAsia="zh-CN"/>
              </w:rPr>
            </w:pPr>
            <w:r>
              <w:rPr>
                <w:rFonts w:hint="eastAsia" w:ascii="仿宋_GB2312" w:hAnsi="仿宋_GB2312" w:eastAsia="仿宋_GB2312" w:cs="仿宋_GB2312"/>
                <w:b w:val="0"/>
                <w:bCs w:val="0"/>
                <w:color w:val="auto"/>
                <w:sz w:val="21"/>
                <w:szCs w:val="21"/>
                <w:lang w:val="en-US" w:eastAsia="zh-CN"/>
              </w:rPr>
              <w:t>序号</w:t>
            </w:r>
          </w:p>
        </w:tc>
        <w:tc>
          <w:tcPr>
            <w:tcW w:w="947"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21" w:lineRule="auto"/>
              <w:ind w:left="0" w:right="0"/>
              <w:jc w:val="center"/>
              <w:textAlignment w:val="auto"/>
              <w:rPr>
                <w:rFonts w:hint="eastAsia" w:ascii="仿宋_GB2312" w:hAnsi="仿宋_GB2312" w:eastAsia="仿宋_GB2312" w:cs="仿宋_GB2312"/>
                <w:b w:val="0"/>
                <w:bCs w:val="0"/>
                <w:color w:val="auto"/>
                <w:spacing w:val="-1"/>
                <w:sz w:val="21"/>
                <w:szCs w:val="21"/>
                <w:lang w:eastAsia="zh-CN"/>
              </w:rPr>
            </w:pPr>
            <w:r>
              <w:rPr>
                <w:rFonts w:hint="eastAsia" w:ascii="仿宋_GB2312" w:hAnsi="仿宋_GB2312" w:eastAsia="仿宋_GB2312" w:cs="仿宋_GB2312"/>
                <w:b w:val="0"/>
                <w:bCs w:val="0"/>
                <w:color w:val="auto"/>
                <w:spacing w:val="-1"/>
                <w:sz w:val="21"/>
                <w:szCs w:val="21"/>
                <w:lang w:eastAsia="zh-CN"/>
              </w:rPr>
              <w:t>抗压强度</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21" w:lineRule="auto"/>
              <w:ind w:left="0" w:right="0"/>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pacing w:val="-1"/>
                <w:sz w:val="21"/>
                <w:szCs w:val="21"/>
                <w:lang w:eastAsia="zh-CN"/>
              </w:rPr>
              <w:t>(MPa)</w:t>
            </w:r>
          </w:p>
        </w:tc>
        <w:tc>
          <w:tcPr>
            <w:tcW w:w="646"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固化剂(kg)</w:t>
            </w:r>
          </w:p>
        </w:tc>
        <w:tc>
          <w:tcPr>
            <w:tcW w:w="708"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磷</w:t>
            </w:r>
            <w:r>
              <w:rPr>
                <w:rFonts w:hint="eastAsia" w:ascii="仿宋_GB2312" w:hAnsi="仿宋_GB2312" w:eastAsia="仿宋_GB2312" w:cs="仿宋_GB2312"/>
                <w:b w:val="0"/>
                <w:bCs w:val="0"/>
                <w:color w:val="auto"/>
                <w:spacing w:val="-1"/>
                <w:sz w:val="21"/>
                <w:szCs w:val="21"/>
                <w:lang w:val="en-US" w:eastAsia="zh-CN"/>
              </w:rPr>
              <w:t>石膏(kg</w:t>
            </w:r>
            <w:r>
              <w:rPr>
                <w:rFonts w:hint="eastAsia" w:ascii="仿宋_GB2312" w:hAnsi="仿宋_GB2312" w:eastAsia="仿宋_GB2312" w:cs="仿宋_GB2312"/>
                <w:b w:val="0"/>
                <w:bCs w:val="0"/>
                <w:color w:val="auto"/>
                <w:sz w:val="21"/>
                <w:szCs w:val="21"/>
                <w:lang w:val="en-US" w:eastAsia="zh-CN"/>
              </w:rPr>
              <w:t>)</w:t>
            </w:r>
          </w:p>
        </w:tc>
        <w:tc>
          <w:tcPr>
            <w:tcW w:w="1139"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pacing w:val="-1"/>
                <w:kern w:val="0"/>
                <w:sz w:val="21"/>
                <w:szCs w:val="21"/>
                <w:lang w:val="en-US" w:eastAsia="zh-CN" w:bidi="ar"/>
              </w:rPr>
              <w:t>建筑再生骨料</w:t>
            </w:r>
            <w:r>
              <w:rPr>
                <w:rFonts w:hint="eastAsia" w:ascii="仿宋_GB2312" w:hAnsi="仿宋_GB2312" w:eastAsia="仿宋_GB2312" w:cs="仿宋_GB2312"/>
                <w:b w:val="0"/>
                <w:bCs w:val="0"/>
                <w:color w:val="auto"/>
                <w:sz w:val="21"/>
                <w:szCs w:val="21"/>
                <w:lang w:val="en-US" w:eastAsia="zh-CN"/>
              </w:rPr>
              <w:t>(kg)</w:t>
            </w:r>
          </w:p>
        </w:tc>
        <w:tc>
          <w:tcPr>
            <w:tcW w:w="698"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水泥</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(kg)</w:t>
            </w:r>
          </w:p>
        </w:tc>
        <w:tc>
          <w:tcPr>
            <w:tcW w:w="640"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水</w:t>
            </w:r>
          </w:p>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(kg)</w:t>
            </w:r>
          </w:p>
        </w:tc>
        <w:tc>
          <w:tcPr>
            <w:tcW w:w="653"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外加剂(kg)</w:t>
            </w:r>
          </w:p>
        </w:tc>
        <w:tc>
          <w:tcPr>
            <w:tcW w:w="694"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掺合料(kg)</w:t>
            </w:r>
          </w:p>
        </w:tc>
        <w:tc>
          <w:tcPr>
            <w:tcW w:w="776"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扩展度(mm)</w:t>
            </w:r>
          </w:p>
        </w:tc>
        <w:tc>
          <w:tcPr>
            <w:tcW w:w="812"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稠度(mm)</w:t>
            </w:r>
          </w:p>
        </w:tc>
        <w:tc>
          <w:tcPr>
            <w:tcW w:w="812" w:type="dxa"/>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坍落度(mm)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30"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1</w:t>
            </w:r>
          </w:p>
        </w:tc>
        <w:tc>
          <w:tcPr>
            <w:tcW w:w="947" w:type="dxa"/>
            <w:vAlign w:val="center"/>
          </w:tcPr>
          <w:p>
            <w:pPr>
              <w:keepNext w:val="0"/>
              <w:keepLines w:val="0"/>
              <w:widowControl/>
              <w:suppressLineNumbers w:val="0"/>
              <w:jc w:val="center"/>
              <w:rPr>
                <w:rFonts w:hint="eastAsia" w:ascii="仿宋_GB2312" w:hAnsi="仿宋_GB2312" w:eastAsia="仿宋_GB2312" w:cs="仿宋_GB2312"/>
                <w:b w:val="0"/>
                <w:bCs w:val="0"/>
                <w:color w:val="auto"/>
                <w:spacing w:val="2"/>
                <w:sz w:val="21"/>
                <w:szCs w:val="21"/>
                <w:lang w:val="en-US" w:eastAsia="zh-CN"/>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rPr>
              <w:t>0.5</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115</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1000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520</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100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200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15</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50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180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110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30"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2</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rPr>
              <w:t>1.0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92</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800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856</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100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190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12</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50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180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110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29"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3</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eastAsia="zh-CN"/>
              </w:rPr>
              <w:t>3</w:t>
            </w:r>
            <w:r>
              <w:rPr>
                <w:rFonts w:hint="eastAsia" w:ascii="宋体" w:hAnsi="宋体" w:eastAsia="宋体" w:cs="宋体"/>
                <w:b w:val="0"/>
                <w:bCs w:val="0"/>
                <w:color w:val="auto"/>
                <w:spacing w:val="2"/>
                <w:sz w:val="18"/>
                <w:szCs w:val="18"/>
                <w:lang w:val="en-US"/>
              </w:rPr>
              <w:t>.0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80.5</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700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1024</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150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185</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12</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60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180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110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33"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4</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eastAsia="zh-CN"/>
              </w:rPr>
              <w:t>5</w:t>
            </w:r>
            <w:r>
              <w:rPr>
                <w:rFonts w:hint="eastAsia" w:ascii="宋体" w:hAnsi="宋体" w:eastAsia="宋体" w:cs="宋体"/>
                <w:b w:val="0"/>
                <w:bCs w:val="0"/>
                <w:color w:val="auto"/>
                <w:spacing w:val="2"/>
                <w:sz w:val="18"/>
                <w:szCs w:val="18"/>
                <w:lang w:val="en-US"/>
              </w:rPr>
              <w:t>.0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69</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600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1079</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200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180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12</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60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170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105</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34"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5</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eastAsia="zh-CN"/>
              </w:rPr>
              <w:t>7.0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57.5</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500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1251</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260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160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11</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60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160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105</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宋体" w:hAnsi="宋体" w:eastAsia="宋体" w:cs="宋体"/>
                <w:b w:val="0"/>
                <w:bCs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553" w:type="dxa"/>
            <w:vAlign w:val="top"/>
          </w:tcPr>
          <w:p>
            <w:pPr>
              <w:keepNext w:val="0"/>
              <w:keepLines w:val="0"/>
              <w:suppressLineNumbers w:val="0"/>
              <w:spacing w:before="136"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6</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z w:val="21"/>
                <w:szCs w:val="21"/>
                <w:lang w:val="en-US"/>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cs="宋体"/>
                <w:b w:val="0"/>
                <w:bCs w:val="0"/>
                <w:color w:val="auto"/>
                <w:kern w:val="0"/>
                <w:sz w:val="18"/>
                <w:szCs w:val="18"/>
                <w:vertAlign w:val="baseline"/>
                <w:lang w:val="en-US" w:eastAsia="zh-CN" w:bidi="ar"/>
              </w:rPr>
              <w:t>1</w:t>
            </w:r>
            <w:r>
              <w:rPr>
                <w:rFonts w:hint="eastAsia" w:ascii="宋体" w:hAnsi="宋体" w:eastAsia="宋体" w:cs="宋体"/>
                <w:b w:val="0"/>
                <w:bCs w:val="0"/>
                <w:color w:val="auto"/>
                <w:spacing w:val="2"/>
                <w:sz w:val="18"/>
                <w:szCs w:val="18"/>
                <w:vertAlign w:val="baseline"/>
                <w:lang w:val="en-US" w:eastAsia="zh-CN"/>
              </w:rPr>
              <w:t>0</w:t>
            </w:r>
            <w:r>
              <w:rPr>
                <w:rFonts w:hint="eastAsia" w:ascii="宋体" w:hAnsi="宋体" w:eastAsia="宋体" w:cs="宋体"/>
                <w:b w:val="0"/>
                <w:bCs w:val="0"/>
                <w:color w:val="auto"/>
                <w:spacing w:val="2"/>
                <w:sz w:val="18"/>
                <w:szCs w:val="18"/>
                <w:vertAlign w:val="baseline"/>
                <w:lang w:val="en-US"/>
              </w:rPr>
              <w:t>.0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34.5</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300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1395</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330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150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10</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80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宋体" w:hAnsi="宋体" w:eastAsia="宋体" w:cs="宋体"/>
                <w:b w:val="0"/>
                <w:bCs w:val="0"/>
                <w:color w:val="auto"/>
              </w:rPr>
              <w:t>－</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210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trPr>
        <w:tc>
          <w:tcPr>
            <w:tcW w:w="553" w:type="dxa"/>
            <w:vAlign w:val="top"/>
          </w:tcPr>
          <w:p>
            <w:pPr>
              <w:keepNext w:val="0"/>
              <w:keepLines w:val="0"/>
              <w:suppressLineNumbers w:val="0"/>
              <w:spacing w:before="136" w:beforeAutospacing="0" w:after="0" w:afterAutospacing="0" w:line="187" w:lineRule="auto"/>
              <w:ind w:left="0" w:right="0"/>
              <w:jc w:val="center"/>
              <w:rPr>
                <w:rFonts w:hint="eastAsia" w:ascii="仿宋_GB2312" w:hAnsi="仿宋_GB2312" w:eastAsia="仿宋_GB2312" w:cs="仿宋_GB2312"/>
                <w:b w:val="0"/>
                <w:bCs w:val="0"/>
                <w:color w:val="auto"/>
                <w:spacing w:val="2"/>
                <w:sz w:val="21"/>
                <w:szCs w:val="21"/>
                <w:lang w:val="en-US" w:eastAsia="zh-CN"/>
              </w:rPr>
            </w:pPr>
            <w:r>
              <w:rPr>
                <w:rFonts w:hint="eastAsia" w:ascii="仿宋_GB2312" w:hAnsi="仿宋_GB2312" w:eastAsia="仿宋_GB2312" w:cs="仿宋_GB2312"/>
                <w:b w:val="0"/>
                <w:bCs w:val="0"/>
                <w:color w:val="auto"/>
                <w:spacing w:val="2"/>
                <w:sz w:val="21"/>
                <w:szCs w:val="21"/>
                <w:lang w:val="en-US" w:eastAsia="zh-CN"/>
              </w:rPr>
              <w:t>7</w:t>
            </w:r>
          </w:p>
        </w:tc>
        <w:tc>
          <w:tcPr>
            <w:tcW w:w="947" w:type="dxa"/>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仿宋_GB2312" w:hAnsi="仿宋_GB2312" w:eastAsia="仿宋_GB2312" w:cs="仿宋_GB2312"/>
                <w:b w:val="0"/>
                <w:bCs w:val="0"/>
                <w:color w:val="auto"/>
                <w:spacing w:val="2"/>
                <w:sz w:val="21"/>
                <w:szCs w:val="21"/>
                <w:lang w:val="en-US" w:eastAsia="zh-CN"/>
              </w:rPr>
            </w:pPr>
            <w:r>
              <w:rPr>
                <w:rFonts w:hint="eastAsia" w:ascii="宋体" w:hAnsi="宋体" w:eastAsia="宋体" w:cs="宋体"/>
                <w:b w:val="0"/>
                <w:bCs w:val="0"/>
                <w:color w:val="auto"/>
                <w:kern w:val="0"/>
                <w:sz w:val="18"/>
                <w:szCs w:val="18"/>
                <w:lang w:val="en-US" w:eastAsia="zh-CN" w:bidi="ar"/>
              </w:rPr>
              <w:t>Ｆ</w:t>
            </w:r>
            <w:r>
              <w:rPr>
                <w:rFonts w:hint="eastAsia" w:ascii="宋体" w:hAnsi="宋体" w:eastAsia="宋体" w:cs="宋体"/>
                <w:b w:val="0"/>
                <w:bCs w:val="0"/>
                <w:color w:val="auto"/>
                <w:kern w:val="0"/>
                <w:sz w:val="18"/>
                <w:szCs w:val="18"/>
                <w:vertAlign w:val="subscript"/>
                <w:lang w:val="en-US" w:eastAsia="zh-CN" w:bidi="ar"/>
              </w:rPr>
              <w:t>GP，k</w:t>
            </w:r>
            <w:r>
              <w:rPr>
                <w:rFonts w:hint="eastAsia" w:ascii="宋体" w:hAnsi="宋体" w:eastAsia="宋体" w:cs="宋体"/>
                <w:b w:val="0"/>
                <w:bCs w:val="0"/>
                <w:color w:val="auto"/>
                <w:spacing w:val="2"/>
                <w:sz w:val="18"/>
                <w:szCs w:val="18"/>
                <w:lang w:val="en-US" w:eastAsia="zh-CN"/>
              </w:rPr>
              <w:t>15</w:t>
            </w:r>
            <w:r>
              <w:rPr>
                <w:rFonts w:hint="eastAsia" w:ascii="宋体" w:hAnsi="宋体" w:eastAsia="宋体" w:cs="宋体"/>
                <w:b w:val="0"/>
                <w:bCs w:val="0"/>
                <w:color w:val="auto"/>
                <w:spacing w:val="2"/>
                <w:sz w:val="18"/>
                <w:szCs w:val="18"/>
                <w:lang w:val="en-US"/>
              </w:rPr>
              <w:t>.0</w:t>
            </w:r>
          </w:p>
        </w:tc>
        <w:tc>
          <w:tcPr>
            <w:tcW w:w="64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23</w:t>
            </w:r>
          </w:p>
        </w:tc>
        <w:tc>
          <w:tcPr>
            <w:tcW w:w="70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200</w:t>
            </w:r>
          </w:p>
        </w:tc>
        <w:tc>
          <w:tcPr>
            <w:tcW w:w="1139"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1417</w:t>
            </w:r>
          </w:p>
        </w:tc>
        <w:tc>
          <w:tcPr>
            <w:tcW w:w="698"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420</w:t>
            </w:r>
          </w:p>
        </w:tc>
        <w:tc>
          <w:tcPr>
            <w:tcW w:w="640"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150</w:t>
            </w:r>
          </w:p>
        </w:tc>
        <w:tc>
          <w:tcPr>
            <w:tcW w:w="653"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10</w:t>
            </w:r>
          </w:p>
        </w:tc>
        <w:tc>
          <w:tcPr>
            <w:tcW w:w="694"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80</w:t>
            </w:r>
          </w:p>
        </w:tc>
        <w:tc>
          <w:tcPr>
            <w:tcW w:w="776"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宋体" w:hAnsi="宋体" w:eastAsia="宋体" w:cs="宋体"/>
                <w:b w:val="0"/>
                <w:bCs w:val="0"/>
                <w:color w:val="auto"/>
              </w:rPr>
              <w:t>－</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210</w:t>
            </w:r>
          </w:p>
        </w:tc>
        <w:tc>
          <w:tcPr>
            <w:tcW w:w="812" w:type="dxa"/>
            <w:vAlign w:val="center"/>
          </w:tcPr>
          <w:p>
            <w:pPr>
              <w:widowControl w:val="0"/>
              <w:kinsoku/>
              <w:wordWrap w:val="0"/>
              <w:topLinePunct/>
              <w:adjustRightInd/>
              <w:snapToGrid/>
              <w:jc w:val="center"/>
              <w:textAlignment w:val="auto"/>
              <w:rPr>
                <w:rFonts w:hint="eastAsia" w:ascii="仿宋_GB2312" w:hAnsi="仿宋_GB2312" w:eastAsia="仿宋_GB2312" w:cs="仿宋_GB2312"/>
                <w:b w:val="0"/>
                <w:bCs w:val="0"/>
                <w:color w:val="auto"/>
                <w:lang w:val="en-US"/>
              </w:rPr>
            </w:pPr>
            <w:r>
              <w:rPr>
                <w:rFonts w:hint="eastAsia" w:ascii="仿宋_GB2312" w:hAnsi="仿宋_GB2312" w:eastAsia="仿宋_GB2312" w:cs="仿宋_GB2312"/>
                <w:b w:val="0"/>
                <w:bCs w:val="0"/>
                <w:color w:val="auto"/>
                <w:lang w:eastAsia="zh-CN"/>
              </w:rPr>
              <w:t>500</w:t>
            </w:r>
          </w:p>
        </w:tc>
      </w:tr>
    </w:tbl>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3.磷石膏流态固化土制备</w:t>
      </w:r>
    </w:p>
    <w:p>
      <w:pPr>
        <w:keepNext w:val="0"/>
        <w:keepLines w:val="0"/>
        <w:pageBreakBefore w:val="0"/>
        <w:widowControl w:val="0"/>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(1)明确了</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宜采用</w:t>
      </w:r>
      <w:r>
        <w:rPr>
          <w:rFonts w:hint="default" w:ascii="仿宋_GB2312" w:hAnsi="仿宋_GB2312" w:eastAsia="仿宋_GB2312" w:cs="仿宋_GB2312"/>
          <w:color w:val="auto"/>
          <w:spacing w:val="2"/>
          <w:sz w:val="30"/>
          <w:szCs w:val="30"/>
          <w:lang w:val="en-US" w:eastAsia="en-US"/>
        </w:rPr>
        <w:t>具有</w:t>
      </w:r>
      <w:r>
        <w:rPr>
          <w:rFonts w:hint="default" w:ascii="仿宋_GB2312" w:hAnsi="仿宋_GB2312" w:eastAsia="仿宋_GB2312" w:cs="仿宋_GB2312"/>
          <w:color w:val="auto"/>
          <w:spacing w:val="2"/>
          <w:sz w:val="30"/>
          <w:szCs w:val="30"/>
          <w:lang w:val="en-US" w:eastAsia="zh-CN"/>
        </w:rPr>
        <w:t>智能性的</w:t>
      </w:r>
      <w:r>
        <w:rPr>
          <w:rFonts w:hint="default" w:ascii="仿宋_GB2312" w:hAnsi="仿宋_GB2312" w:eastAsia="仿宋_GB2312" w:cs="仿宋_GB2312"/>
          <w:color w:val="auto"/>
          <w:spacing w:val="2"/>
          <w:sz w:val="30"/>
          <w:szCs w:val="30"/>
          <w:lang w:val="en-US" w:eastAsia="en-US"/>
        </w:rPr>
        <w:t>自动计量装置的设备集中搅拌</w:t>
      </w:r>
      <w:r>
        <w:rPr>
          <w:rFonts w:hint="eastAsia" w:ascii="仿宋_GB2312" w:hAnsi="仿宋_GB2312" w:eastAsia="仿宋_GB2312" w:cs="仿宋_GB2312"/>
          <w:color w:val="auto"/>
          <w:spacing w:val="2"/>
          <w:sz w:val="30"/>
          <w:szCs w:val="30"/>
          <w:lang w:val="en-US" w:eastAsia="zh-CN"/>
        </w:rPr>
        <w:t>，杜绝施工现场拌制，并给出了厂拌的生产流程，生产企业对</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的生产可操作性强。</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(2)由于磷石膏贮存过程中易结块，实(试)验中发现，块状磷石膏对拌合物的质量影响极大，标准中明确了在</w:t>
      </w:r>
      <w:r>
        <w:rPr>
          <w:rFonts w:hint="default" w:ascii="仿宋_GB2312" w:hAnsi="仿宋_GB2312" w:eastAsia="仿宋_GB2312" w:cs="仿宋_GB2312"/>
          <w:color w:val="auto"/>
          <w:spacing w:val="2"/>
          <w:sz w:val="30"/>
          <w:szCs w:val="30"/>
          <w:lang w:val="en-US" w:eastAsia="zh-CN"/>
        </w:rPr>
        <w:t>使用</w:t>
      </w:r>
      <w:r>
        <w:rPr>
          <w:rFonts w:hint="eastAsia" w:ascii="仿宋_GB2312" w:hAnsi="仿宋_GB2312" w:eastAsia="仿宋_GB2312" w:cs="仿宋_GB2312"/>
          <w:color w:val="auto"/>
          <w:spacing w:val="2"/>
          <w:sz w:val="30"/>
          <w:szCs w:val="30"/>
          <w:lang w:val="en-US" w:eastAsia="zh-CN"/>
        </w:rPr>
        <w:t>磷石膏</w:t>
      </w:r>
      <w:r>
        <w:rPr>
          <w:rFonts w:hint="default" w:ascii="仿宋_GB2312" w:hAnsi="仿宋_GB2312" w:eastAsia="仿宋_GB2312" w:cs="仿宋_GB2312"/>
          <w:color w:val="auto"/>
          <w:spacing w:val="2"/>
          <w:sz w:val="30"/>
          <w:szCs w:val="30"/>
          <w:lang w:val="en-US" w:eastAsia="zh-CN"/>
        </w:rPr>
        <w:t>前应</w:t>
      </w:r>
      <w:r>
        <w:rPr>
          <w:rFonts w:hint="eastAsia" w:ascii="仿宋_GB2312" w:hAnsi="仿宋_GB2312" w:eastAsia="仿宋_GB2312" w:cs="仿宋_GB2312"/>
          <w:color w:val="auto"/>
          <w:spacing w:val="2"/>
          <w:sz w:val="30"/>
          <w:szCs w:val="30"/>
          <w:lang w:val="en-US" w:eastAsia="zh-CN"/>
        </w:rPr>
        <w:t>对</w:t>
      </w:r>
      <w:r>
        <w:rPr>
          <w:rFonts w:hint="default" w:ascii="仿宋_GB2312" w:hAnsi="仿宋_GB2312" w:eastAsia="仿宋_GB2312" w:cs="仿宋_GB2312"/>
          <w:color w:val="auto"/>
          <w:spacing w:val="2"/>
          <w:sz w:val="30"/>
          <w:szCs w:val="30"/>
          <w:lang w:val="en-US" w:eastAsia="zh-CN"/>
        </w:rPr>
        <w:t>结块磷石膏进行破碎处理，破碎后0.6mm筛孔通过率应大于80%，2.36mm筛孔通过率应大于90%。</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(4)本标准综合大量的试验数据归纳出了各强度等级的磷石膏流态固化土7d/28d龄期无侧限抗压强度；</w:t>
      </w:r>
      <w:r>
        <w:rPr>
          <w:rFonts w:hint="default" w:ascii="仿宋_GB2312" w:hAnsi="仿宋_GB2312" w:eastAsia="仿宋_GB2312" w:cs="仿宋_GB2312"/>
          <w:color w:val="auto"/>
          <w:spacing w:val="2"/>
          <w:sz w:val="30"/>
          <w:szCs w:val="30"/>
          <w:lang w:val="en-US" w:eastAsia="zh-CN"/>
        </w:rPr>
        <w:t>磷石膏流态固化土稠度、坍落度和扩展度</w:t>
      </w:r>
      <w:r>
        <w:rPr>
          <w:rFonts w:hint="eastAsia" w:ascii="仿宋_GB2312" w:hAnsi="仿宋_GB2312" w:eastAsia="仿宋_GB2312" w:cs="仿宋_GB2312"/>
          <w:color w:val="auto"/>
          <w:spacing w:val="2"/>
          <w:sz w:val="30"/>
          <w:szCs w:val="30"/>
          <w:lang w:val="en-US" w:eastAsia="zh-CN"/>
        </w:rPr>
        <w:t>、初凝时间和终凝时间指标；</w:t>
      </w:r>
      <w:r>
        <w:rPr>
          <w:rFonts w:hint="default" w:ascii="仿宋_GB2312" w:hAnsi="仿宋_GB2312" w:eastAsia="仿宋_GB2312" w:cs="仿宋_GB2312"/>
          <w:color w:val="auto"/>
          <w:spacing w:val="2"/>
          <w:sz w:val="30"/>
          <w:szCs w:val="30"/>
          <w:lang w:val="en-US" w:eastAsia="zh-CN"/>
        </w:rPr>
        <w:t>耐久性能</w:t>
      </w:r>
      <w:r>
        <w:rPr>
          <w:rFonts w:hint="eastAsia" w:ascii="仿宋_GB2312" w:hAnsi="仿宋_GB2312" w:eastAsia="仿宋_GB2312" w:cs="仿宋_GB2312"/>
          <w:color w:val="auto"/>
          <w:spacing w:val="2"/>
          <w:sz w:val="30"/>
          <w:szCs w:val="30"/>
          <w:lang w:val="en-US" w:eastAsia="zh-CN"/>
        </w:rPr>
        <w:t>等指标供设计单位参考选择。</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3.磷石膏流态固化土运输</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明确了磷石膏流态固化土</w:t>
      </w:r>
      <w:r>
        <w:rPr>
          <w:rFonts w:hint="default" w:ascii="仿宋_GB2312" w:hAnsi="仿宋_GB2312" w:eastAsia="仿宋_GB2312" w:cs="仿宋_GB2312"/>
          <w:color w:val="auto"/>
          <w:spacing w:val="2"/>
          <w:sz w:val="30"/>
          <w:szCs w:val="30"/>
          <w:lang w:val="en-US" w:eastAsia="zh-CN"/>
        </w:rPr>
        <w:t>混合料宜采用搅拌运输车运输</w:t>
      </w:r>
      <w:r>
        <w:rPr>
          <w:rFonts w:hint="eastAsia" w:ascii="仿宋_GB2312" w:hAnsi="仿宋_GB2312" w:eastAsia="仿宋_GB2312" w:cs="仿宋_GB2312"/>
          <w:color w:val="auto"/>
          <w:spacing w:val="2"/>
          <w:sz w:val="30"/>
          <w:szCs w:val="30"/>
          <w:lang w:val="en-US" w:eastAsia="zh-CN"/>
        </w:rPr>
        <w:t>，并对</w:t>
      </w:r>
      <w:r>
        <w:rPr>
          <w:rFonts w:hint="default" w:ascii="仿宋_GB2312" w:hAnsi="仿宋_GB2312" w:eastAsia="仿宋_GB2312" w:cs="仿宋_GB2312"/>
          <w:color w:val="auto"/>
          <w:spacing w:val="2"/>
          <w:sz w:val="30"/>
          <w:szCs w:val="30"/>
          <w:lang w:val="en-US" w:eastAsia="zh-CN"/>
        </w:rPr>
        <w:t>搅拌运输车</w:t>
      </w:r>
      <w:r>
        <w:rPr>
          <w:rFonts w:hint="eastAsia" w:ascii="仿宋_GB2312" w:hAnsi="仿宋_GB2312" w:eastAsia="仿宋_GB2312" w:cs="仿宋_GB2312"/>
          <w:color w:val="auto"/>
          <w:spacing w:val="2"/>
          <w:sz w:val="30"/>
          <w:szCs w:val="30"/>
          <w:lang w:val="en-US" w:eastAsia="zh-CN"/>
        </w:rPr>
        <w:t>的自身的洁净及</w:t>
      </w:r>
      <w:r>
        <w:rPr>
          <w:rFonts w:hint="default" w:ascii="仿宋_GB2312" w:hAnsi="仿宋_GB2312" w:eastAsia="仿宋_GB2312" w:cs="仿宋_GB2312"/>
          <w:color w:val="auto"/>
          <w:spacing w:val="2"/>
          <w:sz w:val="30"/>
          <w:szCs w:val="30"/>
          <w:lang w:val="en-US" w:eastAsia="zh-CN"/>
        </w:rPr>
        <w:t>运输途中</w:t>
      </w:r>
      <w:r>
        <w:rPr>
          <w:rFonts w:hint="eastAsia" w:ascii="仿宋_GB2312" w:hAnsi="仿宋_GB2312" w:eastAsia="仿宋_GB2312" w:cs="仿宋_GB2312"/>
          <w:color w:val="auto"/>
          <w:spacing w:val="2"/>
          <w:sz w:val="30"/>
          <w:szCs w:val="30"/>
          <w:lang w:val="en-US" w:eastAsia="zh-CN"/>
        </w:rPr>
        <w:t>、</w:t>
      </w:r>
      <w:r>
        <w:rPr>
          <w:rFonts w:hint="default" w:ascii="仿宋_GB2312" w:hAnsi="仿宋_GB2312" w:eastAsia="仿宋_GB2312" w:cs="仿宋_GB2312"/>
          <w:color w:val="auto"/>
          <w:spacing w:val="2"/>
          <w:sz w:val="30"/>
          <w:szCs w:val="30"/>
          <w:lang w:val="en-US" w:eastAsia="zh-CN"/>
        </w:rPr>
        <w:t>等候卸料</w:t>
      </w:r>
      <w:r>
        <w:rPr>
          <w:rFonts w:hint="eastAsia" w:ascii="仿宋_GB2312" w:hAnsi="仿宋_GB2312" w:eastAsia="仿宋_GB2312" w:cs="仿宋_GB2312"/>
          <w:color w:val="auto"/>
          <w:spacing w:val="2"/>
          <w:sz w:val="30"/>
          <w:szCs w:val="30"/>
          <w:lang w:val="en-US" w:eastAsia="zh-CN"/>
        </w:rPr>
        <w:t>提出了具体的要求。</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4.</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试验、检测方法</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明确了</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强度、物理性能及耐久性能、重金属浸出物毒性等的检测方法、取样及检测频率，使</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无论是在质量上还是在环保上均得到了有效的控制。</w:t>
      </w:r>
      <w:r>
        <w:rPr>
          <w:rFonts w:hint="default" w:ascii="仿宋_GB2312" w:hAnsi="仿宋_GB2312" w:eastAsia="仿宋_GB2312" w:cs="仿宋_GB2312"/>
          <w:color w:val="auto"/>
          <w:spacing w:val="2"/>
          <w:sz w:val="30"/>
          <w:szCs w:val="30"/>
          <w:lang w:val="en-US" w:eastAsia="zh-CN"/>
        </w:rPr>
        <w:t>磷石膏流态固化土</w:t>
      </w:r>
      <w:r>
        <w:rPr>
          <w:rFonts w:hint="eastAsia" w:ascii="仿宋_GB2312" w:hAnsi="仿宋_GB2312" w:eastAsia="仿宋_GB2312" w:cs="仿宋_GB2312"/>
          <w:color w:val="auto"/>
          <w:spacing w:val="2"/>
          <w:sz w:val="30"/>
          <w:szCs w:val="30"/>
          <w:lang w:val="en-US" w:eastAsia="zh-CN"/>
        </w:rPr>
        <w:t>试验、检测的可操作性强，能有效指导供                                            需双方进行磷石膏流态固化土各项指标的检测。</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4.</w:t>
      </w:r>
      <w:r>
        <w:rPr>
          <w:rFonts w:hint="default" w:ascii="仿宋_GB2312" w:hAnsi="仿宋_GB2312" w:eastAsia="仿宋_GB2312" w:cs="仿宋_GB2312"/>
          <w:color w:val="auto"/>
          <w:spacing w:val="2"/>
          <w:sz w:val="30"/>
          <w:szCs w:val="30"/>
          <w:lang w:val="en-US" w:eastAsia="zh-CN"/>
        </w:rPr>
        <w:t>环境</w:t>
      </w:r>
      <w:r>
        <w:rPr>
          <w:rFonts w:hint="eastAsia" w:ascii="仿宋_GB2312" w:hAnsi="仿宋_GB2312" w:eastAsia="仿宋_GB2312" w:cs="仿宋_GB2312"/>
          <w:color w:val="auto"/>
          <w:spacing w:val="2"/>
          <w:sz w:val="30"/>
          <w:szCs w:val="30"/>
          <w:lang w:val="en-US" w:eastAsia="zh-CN"/>
        </w:rPr>
        <w:t>管理与环境监测</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(1)因</w:t>
      </w:r>
      <w:r>
        <w:rPr>
          <w:rFonts w:hint="default" w:ascii="仿宋_GB2312" w:hAnsi="仿宋_GB2312" w:eastAsia="仿宋_GB2312" w:cs="仿宋_GB2312"/>
          <w:color w:val="auto"/>
          <w:spacing w:val="2"/>
          <w:sz w:val="30"/>
          <w:szCs w:val="30"/>
          <w:lang w:val="en-US" w:eastAsia="zh-CN"/>
        </w:rPr>
        <w:t>磷石膏流态固化土的重金属浸出物毒性限值目前无明确标准，</w:t>
      </w:r>
      <w:r>
        <w:rPr>
          <w:rFonts w:hint="eastAsia" w:ascii="仿宋_GB2312" w:hAnsi="仿宋_GB2312" w:eastAsia="仿宋_GB2312" w:cs="仿宋_GB2312"/>
          <w:color w:val="auto"/>
          <w:spacing w:val="2"/>
          <w:sz w:val="30"/>
          <w:szCs w:val="30"/>
          <w:lang w:val="en-US" w:eastAsia="zh-CN"/>
        </w:rPr>
        <w:t>在本标准中明确了</w:t>
      </w:r>
      <w:r>
        <w:rPr>
          <w:rFonts w:hint="default" w:ascii="仿宋_GB2312" w:hAnsi="仿宋_GB2312" w:eastAsia="仿宋_GB2312" w:cs="仿宋_GB2312"/>
          <w:color w:val="auto"/>
          <w:spacing w:val="2"/>
          <w:sz w:val="30"/>
          <w:szCs w:val="30"/>
          <w:lang w:val="en-US" w:eastAsia="zh-CN"/>
        </w:rPr>
        <w:t>磷石膏流态固化土混合料在经过28天的标准养护期后，</w:t>
      </w:r>
      <w:r>
        <w:rPr>
          <w:rFonts w:hint="eastAsia" w:ascii="仿宋_GB2312" w:hAnsi="仿宋_GB2312" w:eastAsia="仿宋_GB2312" w:cs="仿宋_GB2312"/>
          <w:color w:val="auto"/>
          <w:spacing w:val="2"/>
          <w:sz w:val="30"/>
          <w:szCs w:val="30"/>
          <w:lang w:val="en-US" w:eastAsia="zh-CN"/>
        </w:rPr>
        <w:t>按</w:t>
      </w:r>
      <w:r>
        <w:rPr>
          <w:rFonts w:hint="default" w:ascii="仿宋_GB2312" w:hAnsi="仿宋_GB2312" w:eastAsia="仿宋_GB2312" w:cs="仿宋_GB2312"/>
          <w:color w:val="auto"/>
          <w:spacing w:val="2"/>
          <w:sz w:val="30"/>
          <w:szCs w:val="30"/>
          <w:lang w:val="en-US" w:eastAsia="zh-CN"/>
        </w:rPr>
        <w:t>《固体废物浸出毒性浸出方法水平振荡法》进行浸出试验测得</w:t>
      </w:r>
      <w:r>
        <w:rPr>
          <w:rFonts w:hint="eastAsia" w:ascii="仿宋_GB2312" w:hAnsi="仿宋_GB2312" w:eastAsia="仿宋_GB2312" w:cs="仿宋_GB2312"/>
          <w:color w:val="auto"/>
          <w:spacing w:val="2"/>
          <w:sz w:val="30"/>
          <w:szCs w:val="30"/>
          <w:lang w:val="en-US" w:eastAsia="zh-CN"/>
        </w:rPr>
        <w:t>其</w:t>
      </w:r>
      <w:r>
        <w:rPr>
          <w:rFonts w:hint="default" w:ascii="仿宋_GB2312" w:hAnsi="仿宋_GB2312" w:eastAsia="仿宋_GB2312" w:cs="仿宋_GB2312"/>
          <w:color w:val="auto"/>
          <w:spacing w:val="2"/>
          <w:sz w:val="30"/>
          <w:szCs w:val="30"/>
          <w:lang w:val="en-US" w:eastAsia="zh-CN"/>
        </w:rPr>
        <w:t>浸出液中</w:t>
      </w:r>
      <w:r>
        <w:rPr>
          <w:rFonts w:hint="eastAsia" w:ascii="仿宋_GB2312" w:hAnsi="仿宋_GB2312" w:eastAsia="仿宋_GB2312" w:cs="仿宋_GB2312"/>
          <w:color w:val="auto"/>
          <w:spacing w:val="2"/>
          <w:sz w:val="30"/>
          <w:szCs w:val="30"/>
          <w:lang w:val="en-US" w:eastAsia="zh-CN"/>
        </w:rPr>
        <w:t>相关指标的限值</w:t>
      </w:r>
      <w:r>
        <w:rPr>
          <w:rFonts w:hint="default" w:ascii="仿宋_GB2312" w:hAnsi="仿宋_GB2312" w:eastAsia="仿宋_GB2312" w:cs="仿宋_GB2312"/>
          <w:color w:val="auto"/>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(2)本标准按《地表水环境质量标准》GB 3838中Ⅳ类标准的要求对磷石膏流态固化土</w:t>
      </w:r>
      <w:r>
        <w:rPr>
          <w:rFonts w:hint="default" w:ascii="仿宋_GB2312" w:hAnsi="仿宋_GB2312" w:eastAsia="仿宋_GB2312" w:cs="仿宋_GB2312"/>
          <w:color w:val="auto"/>
          <w:spacing w:val="2"/>
          <w:sz w:val="30"/>
          <w:szCs w:val="30"/>
          <w:lang w:val="en-US" w:eastAsia="zh-CN"/>
        </w:rPr>
        <w:t>重金属浸出物毒性限值</w:t>
      </w:r>
      <w:r>
        <w:rPr>
          <w:rFonts w:hint="eastAsia" w:ascii="仿宋_GB2312" w:hAnsi="仿宋_GB2312" w:eastAsia="仿宋_GB2312" w:cs="仿宋_GB2312"/>
          <w:color w:val="auto"/>
          <w:spacing w:val="2"/>
          <w:sz w:val="30"/>
          <w:szCs w:val="30"/>
          <w:lang w:val="en-US" w:eastAsia="zh-CN"/>
        </w:rPr>
        <w:t>做了要求，并对磷石膏堆场的建设以及磷石膏流态固化土制备过程中提出了相应环境管控措施及监测要求，确保</w:t>
      </w:r>
      <w:r>
        <w:rPr>
          <w:rFonts w:hint="default" w:ascii="仿宋_GB2312" w:hAnsi="仿宋_GB2312" w:eastAsia="仿宋_GB2312" w:cs="仿宋_GB2312"/>
          <w:color w:val="auto"/>
          <w:spacing w:val="2"/>
          <w:sz w:val="30"/>
          <w:szCs w:val="30"/>
          <w:lang w:val="en-US" w:eastAsia="zh-CN"/>
        </w:rPr>
        <w:t>环境</w:t>
      </w:r>
      <w:r>
        <w:rPr>
          <w:rFonts w:hint="eastAsia" w:ascii="仿宋_GB2312" w:hAnsi="仿宋_GB2312" w:eastAsia="仿宋_GB2312" w:cs="仿宋_GB2312"/>
          <w:color w:val="auto"/>
          <w:spacing w:val="2"/>
          <w:sz w:val="30"/>
          <w:szCs w:val="30"/>
          <w:lang w:val="en-US" w:eastAsia="zh-CN"/>
        </w:rPr>
        <w:t>上</w:t>
      </w:r>
      <w:r>
        <w:rPr>
          <w:rFonts w:hint="default" w:ascii="仿宋_GB2312" w:hAnsi="仿宋_GB2312" w:eastAsia="仿宋_GB2312" w:cs="仿宋_GB2312"/>
          <w:color w:val="auto"/>
          <w:spacing w:val="2"/>
          <w:sz w:val="30"/>
          <w:szCs w:val="30"/>
          <w:lang w:val="en-US" w:eastAsia="zh-CN"/>
        </w:rPr>
        <w:t>可持续发展</w:t>
      </w:r>
      <w:r>
        <w:rPr>
          <w:rFonts w:hint="eastAsia" w:ascii="仿宋_GB2312" w:hAnsi="仿宋_GB2312" w:eastAsia="仿宋_GB2312" w:cs="仿宋_GB2312"/>
          <w:color w:val="auto"/>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5.</w:t>
      </w:r>
      <w:r>
        <w:rPr>
          <w:rFonts w:hint="default" w:ascii="仿宋_GB2312" w:hAnsi="仿宋_GB2312" w:eastAsia="仿宋_GB2312" w:cs="仿宋_GB2312"/>
          <w:color w:val="auto"/>
          <w:spacing w:val="2"/>
          <w:sz w:val="30"/>
          <w:szCs w:val="30"/>
          <w:lang w:val="en-US" w:eastAsia="zh-CN"/>
        </w:rPr>
        <w:t>质量</w:t>
      </w:r>
      <w:r>
        <w:rPr>
          <w:rFonts w:hint="eastAsia" w:ascii="仿宋_GB2312" w:hAnsi="仿宋_GB2312" w:eastAsia="仿宋_GB2312" w:cs="仿宋_GB2312"/>
          <w:color w:val="auto"/>
          <w:spacing w:val="2"/>
          <w:sz w:val="30"/>
          <w:szCs w:val="30"/>
          <w:lang w:val="en-US" w:eastAsia="zh-CN"/>
        </w:rPr>
        <w:t>评定</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对验收人员资格、验收程序以及验收标准做了要求，确保施工验收工作的有序进行。</w:t>
      </w:r>
    </w:p>
    <w:p>
      <w:pPr>
        <w:pStyle w:val="3"/>
        <w:keepNext w:val="0"/>
        <w:keepLines w:val="0"/>
        <w:pageBreakBefore w:val="0"/>
        <w:widowControl w:val="0"/>
        <w:kinsoku w:val="0"/>
        <w:wordWrap/>
        <w:overflowPunct/>
        <w:topLinePunct w:val="0"/>
        <w:autoSpaceDE w:val="0"/>
        <w:autoSpaceDN w:val="0"/>
        <w:bidi w:val="0"/>
        <w:adjustRightInd/>
        <w:snapToGrid/>
        <w:spacing w:line="360" w:lineRule="auto"/>
        <w:ind w:firstLine="608" w:firstLineChars="200"/>
        <w:textAlignment w:val="baseline"/>
        <w:rPr>
          <w:rFonts w:hint="eastAsia"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明确了</w:t>
      </w:r>
      <w:r>
        <w:rPr>
          <w:rFonts w:hint="default" w:ascii="仿宋_GB2312" w:hAnsi="仿宋_GB2312" w:eastAsia="仿宋_GB2312" w:cs="仿宋_GB2312"/>
          <w:snapToGrid w:val="0"/>
          <w:color w:val="auto"/>
          <w:spacing w:val="2"/>
          <w:kern w:val="0"/>
          <w:sz w:val="30"/>
          <w:szCs w:val="30"/>
          <w:lang w:val="en-US" w:eastAsia="zh-CN" w:bidi="ar-SA"/>
        </w:rPr>
        <w:t>磷石膏流态固化土</w:t>
      </w:r>
      <w:r>
        <w:rPr>
          <w:rFonts w:hint="eastAsia" w:ascii="仿宋_GB2312" w:hAnsi="仿宋_GB2312" w:eastAsia="仿宋_GB2312" w:cs="仿宋_GB2312"/>
          <w:snapToGrid w:val="0"/>
          <w:color w:val="auto"/>
          <w:spacing w:val="2"/>
          <w:kern w:val="0"/>
          <w:sz w:val="30"/>
          <w:szCs w:val="30"/>
          <w:lang w:val="en-US" w:eastAsia="zh-CN" w:bidi="ar-SA"/>
        </w:rPr>
        <w:t>强度、坍落度、耐久性能、稠度、扩展度重金属浸出毒性检验合格性的评定标准和方法，将因产品质量的问题纠纷消灭在萌芽状态之中。</w:t>
      </w:r>
    </w:p>
    <w:p>
      <w:pPr>
        <w:pStyle w:val="3"/>
        <w:keepNext w:val="0"/>
        <w:keepLines w:val="0"/>
        <w:pageBreakBefore w:val="0"/>
        <w:widowControl w:val="0"/>
        <w:kinsoku w:val="0"/>
        <w:wordWrap/>
        <w:overflowPunct/>
        <w:topLinePunct w:val="0"/>
        <w:autoSpaceDE w:val="0"/>
        <w:autoSpaceDN w:val="0"/>
        <w:bidi w:val="0"/>
        <w:adjustRightInd/>
        <w:snapToGrid/>
        <w:spacing w:line="360" w:lineRule="auto"/>
        <w:ind w:firstLine="608" w:firstLineChars="200"/>
        <w:textAlignment w:val="baseline"/>
        <w:rPr>
          <w:rFonts w:hint="default"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6.供货与交货</w:t>
      </w:r>
    </w:p>
    <w:p>
      <w:pPr>
        <w:pStyle w:val="3"/>
        <w:keepNext w:val="0"/>
        <w:keepLines w:val="0"/>
        <w:pageBreakBefore w:val="0"/>
        <w:widowControl w:val="0"/>
        <w:kinsoku w:val="0"/>
        <w:wordWrap/>
        <w:overflowPunct/>
        <w:topLinePunct w:val="0"/>
        <w:autoSpaceDE w:val="0"/>
        <w:autoSpaceDN w:val="0"/>
        <w:bidi w:val="0"/>
        <w:adjustRightInd/>
        <w:snapToGrid/>
        <w:spacing w:line="360" w:lineRule="auto"/>
        <w:ind w:firstLine="608" w:firstLineChars="200"/>
        <w:textAlignment w:val="baseline"/>
        <w:rPr>
          <w:rFonts w:hint="default"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明确了供货数量的计量单位（以立方体计量）及计量规则，规避了供需双方就数量上的矛盾；明确了订货单与运货单的内容，确保</w:t>
      </w:r>
      <w:r>
        <w:rPr>
          <w:rFonts w:hint="default" w:ascii="仿宋_GB2312" w:hAnsi="仿宋_GB2312" w:eastAsia="仿宋_GB2312" w:cs="仿宋_GB2312"/>
          <w:snapToGrid w:val="0"/>
          <w:color w:val="auto"/>
          <w:spacing w:val="2"/>
          <w:kern w:val="0"/>
          <w:sz w:val="30"/>
          <w:szCs w:val="30"/>
          <w:lang w:val="en-US" w:eastAsia="zh-CN" w:bidi="ar-SA"/>
        </w:rPr>
        <w:t>磷石膏流态固化土</w:t>
      </w:r>
      <w:r>
        <w:rPr>
          <w:rFonts w:hint="eastAsia" w:ascii="仿宋_GB2312" w:hAnsi="仿宋_GB2312" w:eastAsia="仿宋_GB2312" w:cs="仿宋_GB2312"/>
          <w:snapToGrid w:val="0"/>
          <w:color w:val="auto"/>
          <w:spacing w:val="2"/>
          <w:kern w:val="0"/>
          <w:sz w:val="30"/>
          <w:szCs w:val="30"/>
          <w:lang w:val="en-US" w:eastAsia="zh-CN" w:bidi="ar-SA"/>
        </w:rPr>
        <w:t xml:space="preserve">能有效溯源，确保产品数量纠纷有据有查。 </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52" w:firstLineChars="200"/>
        <w:textAlignment w:val="baseline"/>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3.采用国际标准和国外先进标准的程度情况，以及与国际、国外同类标准水平的对比情况</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本标准未采用国际、国外相关标准。</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4.与现行法律法规和上级标准的关系</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文件的编写严格遵守《中华人民共和国标准化法》《地方标准管理办法》等政策法规。标准结构和编写符合国家标准GB/T1.1-2020《标准化工作导则第1部分：标准化文件的结构和起草规则》相关要求，与相关法律法规、技术标准具有一致性、无任何抵触。</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5.重大分歧意见的处理经过和依据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本标准的编写过程无重大分歧意见产生。</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6.贯彻标准的要求和措施建议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pacing w:val="2"/>
          <w:sz w:val="30"/>
          <w:szCs w:val="30"/>
          <w:lang w:val="en-US" w:eastAsia="zh-CN"/>
        </w:rPr>
        <w:t>本标准一经发布，应采用适宜的方式及时开展标准宣传和培训工作，使相关技术人员及工作者熟悉标准内容，在相关网站对标准内容进行公示并告知所有相关人员按此标准执行，同时，积极收纳应用过程中的意义的建议，为磷石膏综合利用及研发提供广阔的前景。</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7.废止现行有关标准的建议</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eastAsia" w:ascii="仿宋_GB2312" w:hAnsi="仿宋_GB2312" w:eastAsia="仿宋_GB2312" w:cs="仿宋_GB2312"/>
          <w:color w:val="auto"/>
          <w:spacing w:val="2"/>
          <w:sz w:val="30"/>
          <w:szCs w:val="30"/>
          <w:lang w:val="en-US" w:eastAsia="zh-CN"/>
        </w:rPr>
      </w:pPr>
      <w:r>
        <w:rPr>
          <w:rFonts w:hint="eastAsia" w:ascii="仿宋_GB2312" w:hAnsi="仿宋_GB2312" w:eastAsia="仿宋_GB2312" w:cs="仿宋_GB2312"/>
          <w:color w:val="auto"/>
          <w:spacing w:val="2"/>
          <w:sz w:val="30"/>
          <w:szCs w:val="30"/>
          <w:lang w:val="en-US" w:eastAsia="zh-CN"/>
        </w:rPr>
        <w:t>本标准为首次发布的标准。</w:t>
      </w:r>
    </w:p>
    <w:p>
      <w:pPr>
        <w:keepNext w:val="0"/>
        <w:keepLines w:val="0"/>
        <w:pageBreakBefore w:val="0"/>
        <w:widowControl w:val="0"/>
        <w:kinsoku w:val="0"/>
        <w:wordWrap/>
        <w:overflowPunct/>
        <w:topLinePunct w:val="0"/>
        <w:autoSpaceDE w:val="0"/>
        <w:autoSpaceDN w:val="0"/>
        <w:bidi w:val="0"/>
        <w:adjustRightInd/>
        <w:snapToGrid/>
        <w:spacing w:line="360" w:lineRule="auto"/>
        <w:ind w:left="0" w:firstLine="652" w:firstLineChars="200"/>
        <w:textAlignment w:val="baseline"/>
        <w:outlineLvl w:val="0"/>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8.其它说明</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目前，尽管磷石膏流态固化土</w:t>
      </w:r>
      <w:r>
        <w:rPr>
          <w:rFonts w:hint="eastAsia" w:ascii="仿宋_GB2312" w:hAnsi="仿宋_GB2312" w:eastAsia="仿宋_GB2312" w:cs="仿宋_GB2312"/>
          <w:color w:val="auto"/>
          <w:spacing w:val="2"/>
          <w:sz w:val="30"/>
          <w:szCs w:val="30"/>
          <w:lang w:val="en-US" w:eastAsia="zh-CN"/>
        </w:rPr>
        <w:t>生产</w:t>
      </w:r>
      <w:r>
        <w:rPr>
          <w:rFonts w:hint="default" w:ascii="仿宋_GB2312" w:hAnsi="仿宋_GB2312" w:eastAsia="仿宋_GB2312" w:cs="仿宋_GB2312"/>
          <w:color w:val="auto"/>
          <w:spacing w:val="2"/>
          <w:sz w:val="30"/>
          <w:szCs w:val="30"/>
          <w:lang w:val="en-US" w:eastAsia="zh-CN"/>
        </w:rPr>
        <w:t>技术</w:t>
      </w:r>
      <w:r>
        <w:rPr>
          <w:rFonts w:hint="eastAsia" w:ascii="仿宋_GB2312" w:hAnsi="仿宋_GB2312" w:eastAsia="仿宋_GB2312" w:cs="仿宋_GB2312"/>
          <w:color w:val="auto"/>
          <w:spacing w:val="2"/>
          <w:sz w:val="30"/>
          <w:szCs w:val="30"/>
          <w:lang w:val="en-US" w:eastAsia="zh-CN"/>
        </w:rPr>
        <w:t>在</w:t>
      </w:r>
      <w:r>
        <w:rPr>
          <w:rFonts w:hint="default" w:ascii="仿宋_GB2312" w:hAnsi="仿宋_GB2312" w:eastAsia="仿宋_GB2312" w:cs="仿宋_GB2312"/>
          <w:color w:val="auto"/>
          <w:spacing w:val="2"/>
          <w:sz w:val="30"/>
          <w:szCs w:val="30"/>
          <w:lang w:val="en-US" w:eastAsia="zh-CN"/>
        </w:rPr>
        <w:t>基础理论研究</w:t>
      </w:r>
      <w:r>
        <w:rPr>
          <w:rFonts w:hint="eastAsia" w:ascii="仿宋_GB2312" w:hAnsi="仿宋_GB2312" w:eastAsia="仿宋_GB2312" w:cs="仿宋_GB2312"/>
          <w:color w:val="auto"/>
          <w:spacing w:val="2"/>
          <w:sz w:val="30"/>
          <w:szCs w:val="30"/>
          <w:lang w:val="en-US" w:eastAsia="zh-CN"/>
        </w:rPr>
        <w:t>上</w:t>
      </w:r>
      <w:r>
        <w:rPr>
          <w:rFonts w:hint="default" w:ascii="仿宋_GB2312" w:hAnsi="仿宋_GB2312" w:eastAsia="仿宋_GB2312" w:cs="仿宋_GB2312"/>
          <w:color w:val="auto"/>
          <w:spacing w:val="2"/>
          <w:sz w:val="30"/>
          <w:szCs w:val="30"/>
          <w:lang w:val="en-US" w:eastAsia="zh-CN"/>
        </w:rPr>
        <w:t>取得了一定的成果，但仍存在一些挑战和问题。例如，如何进一步提高磷石膏的固化效率、</w:t>
      </w:r>
      <w:r>
        <w:rPr>
          <w:rFonts w:hint="eastAsia" w:ascii="仿宋_GB2312" w:hAnsi="仿宋_GB2312" w:eastAsia="仿宋_GB2312" w:cs="仿宋_GB2312"/>
          <w:color w:val="auto"/>
          <w:spacing w:val="2"/>
          <w:sz w:val="30"/>
          <w:szCs w:val="30"/>
          <w:lang w:val="en-US" w:eastAsia="zh-CN"/>
        </w:rPr>
        <w:t>提高单方磷石膏与建筑再生骨料的消纳量，最大幅度</w:t>
      </w:r>
      <w:r>
        <w:rPr>
          <w:rFonts w:hint="default" w:ascii="仿宋_GB2312" w:hAnsi="仿宋_GB2312" w:eastAsia="仿宋_GB2312" w:cs="仿宋_GB2312"/>
          <w:color w:val="auto"/>
          <w:spacing w:val="2"/>
          <w:sz w:val="30"/>
          <w:szCs w:val="30"/>
          <w:lang w:val="en-US" w:eastAsia="zh-CN"/>
        </w:rPr>
        <w:t>降低固化</w:t>
      </w:r>
      <w:r>
        <w:rPr>
          <w:rFonts w:hint="eastAsia" w:ascii="仿宋_GB2312" w:hAnsi="仿宋_GB2312" w:eastAsia="仿宋_GB2312" w:cs="仿宋_GB2312"/>
          <w:color w:val="auto"/>
          <w:spacing w:val="2"/>
          <w:sz w:val="30"/>
          <w:szCs w:val="30"/>
          <w:lang w:val="en-US" w:eastAsia="zh-CN"/>
        </w:rPr>
        <w:t>剂</w:t>
      </w:r>
      <w:r>
        <w:rPr>
          <w:rFonts w:hint="default" w:ascii="仿宋_GB2312" w:hAnsi="仿宋_GB2312" w:eastAsia="仿宋_GB2312" w:cs="仿宋_GB2312"/>
          <w:color w:val="auto"/>
          <w:spacing w:val="2"/>
          <w:sz w:val="30"/>
          <w:szCs w:val="30"/>
          <w:lang w:val="en-US" w:eastAsia="zh-CN"/>
        </w:rPr>
        <w:t>成本、优化固化土的工程性能等。加强磷石膏固化土性能稳定性和耐久性</w:t>
      </w:r>
      <w:r>
        <w:rPr>
          <w:rFonts w:hint="eastAsia" w:ascii="仿宋_GB2312" w:hAnsi="仿宋_GB2312" w:eastAsia="仿宋_GB2312" w:cs="仿宋_GB2312"/>
          <w:color w:val="auto"/>
          <w:spacing w:val="2"/>
          <w:sz w:val="30"/>
          <w:szCs w:val="30"/>
          <w:lang w:val="en-US" w:eastAsia="zh-CN"/>
        </w:rPr>
        <w:t>的</w:t>
      </w:r>
      <w:r>
        <w:rPr>
          <w:rFonts w:hint="default" w:ascii="仿宋_GB2312" w:hAnsi="仿宋_GB2312" w:eastAsia="仿宋_GB2312" w:cs="仿宋_GB2312"/>
          <w:color w:val="auto"/>
          <w:spacing w:val="2"/>
          <w:sz w:val="30"/>
          <w:szCs w:val="30"/>
          <w:lang w:val="en-US" w:eastAsia="zh-CN"/>
        </w:rPr>
        <w:t>研究</w:t>
      </w:r>
      <w:r>
        <w:rPr>
          <w:rFonts w:hint="eastAsia" w:ascii="仿宋_GB2312" w:hAnsi="仿宋_GB2312" w:eastAsia="仿宋_GB2312" w:cs="仿宋_GB2312"/>
          <w:color w:val="auto"/>
          <w:spacing w:val="2"/>
          <w:sz w:val="30"/>
          <w:szCs w:val="30"/>
          <w:lang w:val="en-US" w:eastAsia="zh-CN"/>
        </w:rPr>
        <w:t>任重而道远，只有在实践中不断创新、不断发展才能取得新的突破</w:t>
      </w:r>
      <w:r>
        <w:rPr>
          <w:rFonts w:hint="default" w:ascii="仿宋_GB2312" w:hAnsi="仿宋_GB2312" w:eastAsia="仿宋_GB2312" w:cs="仿宋_GB2312"/>
          <w:color w:val="auto"/>
          <w:spacing w:val="2"/>
          <w:sz w:val="30"/>
          <w:szCs w:val="30"/>
          <w:lang w:val="en-US" w:eastAsia="zh-CN"/>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608" w:firstLineChars="200"/>
        <w:textAlignment w:val="baseline"/>
        <w:rPr>
          <w:rFonts w:hint="default" w:ascii="仿宋_GB2312" w:hAnsi="仿宋_GB2312" w:eastAsia="仿宋_GB2312" w:cs="仿宋_GB2312"/>
          <w:color w:val="auto"/>
          <w:spacing w:val="2"/>
          <w:sz w:val="30"/>
          <w:szCs w:val="30"/>
          <w:lang w:val="en-US" w:eastAsia="zh-CN"/>
        </w:rPr>
      </w:pPr>
      <w:r>
        <w:rPr>
          <w:rFonts w:hint="default" w:ascii="仿宋_GB2312" w:hAnsi="仿宋_GB2312" w:eastAsia="仿宋_GB2312" w:cs="仿宋_GB2312"/>
          <w:color w:val="auto"/>
          <w:spacing w:val="2"/>
          <w:sz w:val="30"/>
          <w:szCs w:val="30"/>
          <w:lang w:val="en-US" w:eastAsia="zh-CN"/>
        </w:rPr>
        <w:t>综上所述，磷石膏流态固化土在技术研发上虽取得了一定的进展，但仍需进一步深入研究和完善。随着环保意识的提高和技术的不断进步，相信磷石膏流态固化土将在</w:t>
      </w:r>
      <w:r>
        <w:rPr>
          <w:rFonts w:hint="eastAsia" w:ascii="仿宋_GB2312" w:hAnsi="仿宋_GB2312" w:eastAsia="仿宋_GB2312" w:cs="仿宋_GB2312"/>
          <w:color w:val="auto"/>
          <w:spacing w:val="2"/>
          <w:sz w:val="30"/>
          <w:szCs w:val="30"/>
          <w:lang w:val="en-US" w:eastAsia="zh-CN"/>
        </w:rPr>
        <w:t>建设工程领域中能</w:t>
      </w:r>
      <w:r>
        <w:rPr>
          <w:rFonts w:hint="default" w:ascii="仿宋_GB2312" w:hAnsi="仿宋_GB2312" w:eastAsia="仿宋_GB2312" w:cs="仿宋_GB2312"/>
          <w:color w:val="auto"/>
          <w:spacing w:val="2"/>
          <w:sz w:val="30"/>
          <w:szCs w:val="30"/>
          <w:lang w:val="en-US" w:eastAsia="zh-CN"/>
        </w:rPr>
        <w:t>得到更广泛的应用和发展。</w:t>
      </w:r>
    </w:p>
    <w:p>
      <w:pPr>
        <w:pStyle w:val="3"/>
        <w:spacing w:line="266" w:lineRule="auto"/>
      </w:pPr>
    </w:p>
    <w:p>
      <w:pPr>
        <w:pStyle w:val="3"/>
        <w:spacing w:line="266" w:lineRule="auto"/>
      </w:pPr>
    </w:p>
    <w:p>
      <w:pPr>
        <w:pStyle w:val="3"/>
        <w:spacing w:line="266" w:lineRule="auto"/>
      </w:pPr>
    </w:p>
    <w:p>
      <w:pPr>
        <w:pStyle w:val="3"/>
        <w:spacing w:line="266" w:lineRule="auto"/>
      </w:pPr>
    </w:p>
    <w:p>
      <w:pPr>
        <w:pStyle w:val="3"/>
        <w:spacing w:line="267" w:lineRule="auto"/>
      </w:pPr>
    </w:p>
    <w:p>
      <w:pPr>
        <w:spacing w:before="100" w:line="221" w:lineRule="auto"/>
        <w:ind w:left="3786" w:leftChars="1800" w:hanging="6" w:firstLineChars="0"/>
        <w:jc w:val="center"/>
        <w:rPr>
          <w:rFonts w:hint="default" w:ascii="仿宋_GB2312" w:hAnsi="仿宋_GB2312" w:eastAsia="仿宋_GB2312" w:cs="仿宋_GB2312"/>
          <w:snapToGrid w:val="0"/>
          <w:color w:val="auto"/>
          <w:spacing w:val="2"/>
          <w:kern w:val="0"/>
          <w:sz w:val="30"/>
          <w:szCs w:val="30"/>
          <w:lang w:val="en-US" w:eastAsia="zh-CN" w:bidi="ar-SA"/>
        </w:rPr>
      </w:pPr>
      <w:r>
        <w:rPr>
          <w:rFonts w:hint="eastAsia" w:ascii="仿宋_GB2312" w:hAnsi="仿宋_GB2312" w:eastAsia="仿宋_GB2312" w:cs="仿宋_GB2312"/>
          <w:snapToGrid w:val="0"/>
          <w:color w:val="auto"/>
          <w:spacing w:val="2"/>
          <w:kern w:val="0"/>
          <w:sz w:val="30"/>
          <w:szCs w:val="30"/>
          <w:lang w:val="en-US" w:eastAsia="zh-CN" w:bidi="ar-SA"/>
        </w:rPr>
        <w:t xml:space="preserve">         </w:t>
      </w:r>
      <w:r>
        <w:rPr>
          <w:rFonts w:hint="default" w:ascii="仿宋_GB2312" w:hAnsi="仿宋_GB2312" w:eastAsia="仿宋_GB2312" w:cs="仿宋_GB2312"/>
          <w:snapToGrid w:val="0"/>
          <w:color w:val="auto"/>
          <w:spacing w:val="2"/>
          <w:kern w:val="0"/>
          <w:sz w:val="30"/>
          <w:szCs w:val="30"/>
          <w:lang w:val="en-US" w:eastAsia="zh-CN" w:bidi="ar-SA"/>
        </w:rPr>
        <w:t>标准起草小组</w:t>
      </w:r>
    </w:p>
    <w:p>
      <w:pPr>
        <w:spacing w:before="152" w:line="220" w:lineRule="auto"/>
        <w:ind w:left="3786" w:leftChars="1800" w:hanging="6" w:firstLineChars="0"/>
        <w:jc w:val="center"/>
        <w:rPr>
          <w:rFonts w:hint="default"/>
          <w:lang w:val="en-US" w:eastAsia="zh-CN"/>
        </w:rPr>
      </w:pPr>
      <w:r>
        <w:rPr>
          <w:rFonts w:hint="eastAsia" w:ascii="仿宋_GB2312" w:hAnsi="仿宋_GB2312" w:eastAsia="仿宋_GB2312" w:cs="仿宋_GB2312"/>
          <w:snapToGrid w:val="0"/>
          <w:color w:val="auto"/>
          <w:spacing w:val="2"/>
          <w:kern w:val="0"/>
          <w:sz w:val="30"/>
          <w:szCs w:val="30"/>
          <w:lang w:val="en-US" w:eastAsia="zh-CN" w:bidi="ar-SA"/>
        </w:rPr>
        <w:t xml:space="preserve">         </w:t>
      </w:r>
      <w:r>
        <w:rPr>
          <w:rFonts w:hint="default" w:ascii="仿宋_GB2312" w:hAnsi="仿宋_GB2312" w:eastAsia="仿宋_GB2312" w:cs="仿宋_GB2312"/>
          <w:snapToGrid w:val="0"/>
          <w:color w:val="auto"/>
          <w:spacing w:val="2"/>
          <w:kern w:val="0"/>
          <w:sz w:val="30"/>
          <w:szCs w:val="30"/>
          <w:lang w:val="en-US" w:eastAsia="zh-CN" w:bidi="ar-SA"/>
        </w:rPr>
        <w:t>2024年</w:t>
      </w:r>
      <w:r>
        <w:rPr>
          <w:rFonts w:hint="eastAsia" w:ascii="仿宋_GB2312" w:hAnsi="仿宋_GB2312" w:eastAsia="仿宋_GB2312" w:cs="仿宋_GB2312"/>
          <w:color w:val="auto"/>
          <w:spacing w:val="2"/>
          <w:sz w:val="30"/>
          <w:szCs w:val="30"/>
          <w:lang w:val="en-US" w:eastAsia="zh-CN"/>
        </w:rPr>
        <w:t>9</w:t>
      </w:r>
      <w:r>
        <w:rPr>
          <w:rFonts w:hint="default" w:ascii="仿宋_GB2312" w:hAnsi="仿宋_GB2312" w:eastAsia="仿宋_GB2312" w:cs="仿宋_GB2312"/>
          <w:snapToGrid w:val="0"/>
          <w:color w:val="auto"/>
          <w:spacing w:val="2"/>
          <w:kern w:val="0"/>
          <w:sz w:val="30"/>
          <w:szCs w:val="30"/>
          <w:lang w:val="en-US" w:eastAsia="zh-CN" w:bidi="ar-SA"/>
        </w:rPr>
        <w:t>月</w:t>
      </w:r>
      <w:r>
        <w:rPr>
          <w:rFonts w:hint="eastAsia" w:ascii="仿宋_GB2312" w:hAnsi="仿宋_GB2312" w:eastAsia="仿宋_GB2312" w:cs="仿宋_GB2312"/>
          <w:snapToGrid w:val="0"/>
          <w:color w:val="auto"/>
          <w:spacing w:val="2"/>
          <w:kern w:val="0"/>
          <w:sz w:val="30"/>
          <w:szCs w:val="30"/>
          <w:lang w:val="en-US" w:eastAsia="zh-CN" w:bidi="ar-SA"/>
        </w:rPr>
        <w:t>9</w:t>
      </w:r>
      <w:r>
        <w:rPr>
          <w:rFonts w:hint="default" w:ascii="仿宋_GB2312" w:hAnsi="仿宋_GB2312" w:eastAsia="仿宋_GB2312" w:cs="仿宋_GB2312"/>
          <w:snapToGrid w:val="0"/>
          <w:color w:val="auto"/>
          <w:spacing w:val="2"/>
          <w:kern w:val="0"/>
          <w:sz w:val="30"/>
          <w:szCs w:val="30"/>
          <w:lang w:val="en-US" w:eastAsia="zh-CN" w:bidi="ar-SA"/>
        </w:rPr>
        <w:t>日</w:t>
      </w:r>
    </w:p>
    <w:sectPr>
      <w:pgSz w:w="11906" w:h="16839"/>
      <w:pgMar w:top="1440" w:right="1803" w:bottom="1440" w:left="1803" w:header="0" w:footer="113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C5F7B"/>
    <w:multiLevelType w:val="multilevel"/>
    <w:tmpl w:val="D32C5F7B"/>
    <w:lvl w:ilvl="0" w:tentative="0">
      <w:start w:val="1"/>
      <w:numFmt w:val="chineseCounting"/>
      <w:pStyle w:val="2"/>
      <w:suff w:val="space"/>
      <w:lvlText w:val="%1、"/>
      <w:lvlJc w:val="left"/>
      <w:pPr>
        <w:tabs>
          <w:tab w:val="left" w:pos="0"/>
        </w:tabs>
        <w:ind w:left="0" w:leftChars="0" w:firstLine="0" w:firstLineChars="0"/>
      </w:pPr>
      <w:rPr>
        <w:rFonts w:hint="eastAsia" w:ascii="宋体" w:hAnsi="宋体" w:eastAsia="宋体" w:cs="宋体"/>
        <w:sz w:val="28"/>
      </w:rPr>
    </w:lvl>
    <w:lvl w:ilvl="1" w:tentative="0">
      <w:start w:val="1"/>
      <w:numFmt w:val="decimal"/>
      <w:isLgl/>
      <w:suff w:val="space"/>
      <w:lvlText w:val="%1.%2"/>
      <w:lvlJc w:val="left"/>
      <w:pPr>
        <w:tabs>
          <w:tab w:val="left" w:pos="0"/>
        </w:tabs>
        <w:ind w:left="0" w:leftChars="0" w:firstLine="0" w:firstLineChars="0"/>
      </w:pPr>
      <w:rPr>
        <w:rFonts w:hint="eastAsia" w:ascii="宋体" w:hAnsi="宋体" w:eastAsia="宋体" w:cs="宋体"/>
        <w:sz w:val="28"/>
      </w:rPr>
    </w:lvl>
    <w:lvl w:ilvl="2" w:tentative="0">
      <w:start w:val="1"/>
      <w:numFmt w:val="decimal"/>
      <w:isLgl/>
      <w:suff w:val="space"/>
      <w:lvlText w:val="%1.%2.%3"/>
      <w:lvlJc w:val="left"/>
      <w:pPr>
        <w:tabs>
          <w:tab w:val="left" w:pos="0"/>
        </w:tabs>
        <w:ind w:left="0" w:leftChars="0" w:firstLine="0" w:firstLineChars="0"/>
      </w:pPr>
      <w:rPr>
        <w:rFonts w:hint="eastAsia" w:ascii="宋体" w:hAnsi="宋体" w:eastAsia="宋体" w:cs="宋体"/>
        <w:sz w:val="28"/>
      </w:rPr>
    </w:lvl>
    <w:lvl w:ilvl="3" w:tentative="0">
      <w:start w:val="1"/>
      <w:numFmt w:val="decimal"/>
      <w:isLgl/>
      <w:suff w:val="space"/>
      <w:lvlText w:val="%1.%2.%3.%4"/>
      <w:lvlJc w:val="left"/>
      <w:pPr>
        <w:tabs>
          <w:tab w:val="left" w:pos="0"/>
        </w:tabs>
        <w:ind w:left="0" w:leftChars="0" w:firstLine="0" w:firstLineChars="0"/>
      </w:pPr>
      <w:rPr>
        <w:rFonts w:hint="eastAsia" w:ascii="宋体" w:hAnsi="宋体" w:eastAsia="宋体" w:cs="宋体"/>
        <w:sz w:val="28"/>
      </w:rPr>
    </w:lvl>
    <w:lvl w:ilvl="4" w:tentative="0">
      <w:start w:val="1"/>
      <w:numFmt w:val="decimal"/>
      <w:isLgl/>
      <w:suff w:val="space"/>
      <w:lvlText w:val="%1.%2.%3.%4.%5"/>
      <w:lvlJc w:val="left"/>
      <w:pPr>
        <w:tabs>
          <w:tab w:val="left" w:pos="420"/>
        </w:tabs>
        <w:ind w:left="0" w:leftChars="0" w:firstLine="0" w:firstLineChars="0"/>
      </w:pPr>
      <w:rPr>
        <w:rFonts w:hint="eastAsia" w:ascii="宋体" w:hAnsi="宋体" w:eastAsia="宋体" w:cs="宋体"/>
        <w:sz w:val="28"/>
      </w:rPr>
    </w:lvl>
    <w:lvl w:ilvl="5" w:tentative="0">
      <w:start w:val="1"/>
      <w:numFmt w:val="decimal"/>
      <w:isLgl/>
      <w:suff w:val="space"/>
      <w:lvlText w:val="%1.%2.%3.%4.%5.%6"/>
      <w:lvlJc w:val="left"/>
      <w:pPr>
        <w:tabs>
          <w:tab w:val="left" w:pos="0"/>
        </w:tabs>
        <w:ind w:left="0" w:leftChars="0" w:firstLine="0" w:firstLineChars="0"/>
      </w:pPr>
      <w:rPr>
        <w:rFonts w:hint="eastAsia" w:ascii="宋体" w:hAnsi="宋体" w:eastAsia="宋体" w:cs="宋体"/>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1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1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rawingGridHorizontalSpacing w:val="210"/>
  <w:drawingGridVerticalSpacing w:val="1"/>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2MWUxNGEwYzFhNDJmZmMxNTA1N2Y1ZDEwZDhjOWMifQ=="/>
  </w:docVars>
  <w:rsids>
    <w:rsidRoot w:val="00000000"/>
    <w:rsid w:val="002B19DE"/>
    <w:rsid w:val="0238468D"/>
    <w:rsid w:val="045C3BEC"/>
    <w:rsid w:val="050414F1"/>
    <w:rsid w:val="070F57D6"/>
    <w:rsid w:val="07E3229E"/>
    <w:rsid w:val="081859DF"/>
    <w:rsid w:val="08CA09D2"/>
    <w:rsid w:val="09B47989"/>
    <w:rsid w:val="0A5A39F5"/>
    <w:rsid w:val="0BB7018E"/>
    <w:rsid w:val="0D10512D"/>
    <w:rsid w:val="0DB4511B"/>
    <w:rsid w:val="0E2F75DE"/>
    <w:rsid w:val="11AC0D75"/>
    <w:rsid w:val="11C10E95"/>
    <w:rsid w:val="12397DCE"/>
    <w:rsid w:val="12A460C1"/>
    <w:rsid w:val="12F5580C"/>
    <w:rsid w:val="133A2B5B"/>
    <w:rsid w:val="167902AD"/>
    <w:rsid w:val="174A36DB"/>
    <w:rsid w:val="174E37CE"/>
    <w:rsid w:val="17514955"/>
    <w:rsid w:val="176B3A56"/>
    <w:rsid w:val="18650926"/>
    <w:rsid w:val="19B60BB4"/>
    <w:rsid w:val="1BCF0E8C"/>
    <w:rsid w:val="1CB82E95"/>
    <w:rsid w:val="1DC75A85"/>
    <w:rsid w:val="217E4E94"/>
    <w:rsid w:val="21FF086E"/>
    <w:rsid w:val="24D82326"/>
    <w:rsid w:val="250255F5"/>
    <w:rsid w:val="25074388"/>
    <w:rsid w:val="254E4396"/>
    <w:rsid w:val="25A246E2"/>
    <w:rsid w:val="268362C1"/>
    <w:rsid w:val="279F35CF"/>
    <w:rsid w:val="28836A4D"/>
    <w:rsid w:val="29AB656F"/>
    <w:rsid w:val="29C56BF1"/>
    <w:rsid w:val="2AF459E0"/>
    <w:rsid w:val="2C673F8F"/>
    <w:rsid w:val="2CBF3DCB"/>
    <w:rsid w:val="2DFF3E34"/>
    <w:rsid w:val="30616FE0"/>
    <w:rsid w:val="318F6462"/>
    <w:rsid w:val="32290665"/>
    <w:rsid w:val="324E48B5"/>
    <w:rsid w:val="324F174E"/>
    <w:rsid w:val="32EF6576"/>
    <w:rsid w:val="33572FB0"/>
    <w:rsid w:val="33C655D1"/>
    <w:rsid w:val="34AE30A3"/>
    <w:rsid w:val="34BB22D5"/>
    <w:rsid w:val="3516738F"/>
    <w:rsid w:val="361D7D79"/>
    <w:rsid w:val="37750B03"/>
    <w:rsid w:val="384C6E5B"/>
    <w:rsid w:val="387C0DC3"/>
    <w:rsid w:val="38C62FC3"/>
    <w:rsid w:val="39D013C6"/>
    <w:rsid w:val="3A11170F"/>
    <w:rsid w:val="3A3A0F35"/>
    <w:rsid w:val="3CBE3A78"/>
    <w:rsid w:val="3EA56DA8"/>
    <w:rsid w:val="3FF54935"/>
    <w:rsid w:val="407A75E1"/>
    <w:rsid w:val="40D66450"/>
    <w:rsid w:val="40FE2CBD"/>
    <w:rsid w:val="412909DB"/>
    <w:rsid w:val="45087A47"/>
    <w:rsid w:val="45766FC5"/>
    <w:rsid w:val="468C77EB"/>
    <w:rsid w:val="469B1506"/>
    <w:rsid w:val="46FF5367"/>
    <w:rsid w:val="47511BBA"/>
    <w:rsid w:val="48837100"/>
    <w:rsid w:val="4A1E01A0"/>
    <w:rsid w:val="4AA32D4D"/>
    <w:rsid w:val="4BA44460"/>
    <w:rsid w:val="4BE65E57"/>
    <w:rsid w:val="4C245B55"/>
    <w:rsid w:val="4C800A2A"/>
    <w:rsid w:val="4D0E4287"/>
    <w:rsid w:val="4D1740AB"/>
    <w:rsid w:val="4D560E5F"/>
    <w:rsid w:val="4DED3EA3"/>
    <w:rsid w:val="4FB60E8E"/>
    <w:rsid w:val="513F5357"/>
    <w:rsid w:val="51497F84"/>
    <w:rsid w:val="518C1C1F"/>
    <w:rsid w:val="518F420F"/>
    <w:rsid w:val="526469F7"/>
    <w:rsid w:val="53E53868"/>
    <w:rsid w:val="555962BC"/>
    <w:rsid w:val="55E31431"/>
    <w:rsid w:val="56BD6580"/>
    <w:rsid w:val="56C41E5B"/>
    <w:rsid w:val="56ED57C8"/>
    <w:rsid w:val="57AF6667"/>
    <w:rsid w:val="57E83AC2"/>
    <w:rsid w:val="59653481"/>
    <w:rsid w:val="5A0A5DD6"/>
    <w:rsid w:val="5C221CB3"/>
    <w:rsid w:val="5D1C199A"/>
    <w:rsid w:val="5E0019CA"/>
    <w:rsid w:val="5E4775F9"/>
    <w:rsid w:val="5F4F24EC"/>
    <w:rsid w:val="5F6F3B20"/>
    <w:rsid w:val="611E445B"/>
    <w:rsid w:val="61E66831"/>
    <w:rsid w:val="62740E8D"/>
    <w:rsid w:val="635F3637"/>
    <w:rsid w:val="6817517D"/>
    <w:rsid w:val="685C0145"/>
    <w:rsid w:val="69985A44"/>
    <w:rsid w:val="6B0D1B79"/>
    <w:rsid w:val="6C014DAC"/>
    <w:rsid w:val="6E5A6ED5"/>
    <w:rsid w:val="70CF6549"/>
    <w:rsid w:val="71157618"/>
    <w:rsid w:val="74024296"/>
    <w:rsid w:val="75EB0BC3"/>
    <w:rsid w:val="771F2A69"/>
    <w:rsid w:val="7796329D"/>
    <w:rsid w:val="77EF73ED"/>
    <w:rsid w:val="782A7918"/>
    <w:rsid w:val="78EA2920"/>
    <w:rsid w:val="793D66BC"/>
    <w:rsid w:val="79C60554"/>
    <w:rsid w:val="7B0640F7"/>
    <w:rsid w:val="7B376332"/>
    <w:rsid w:val="7B5F1800"/>
    <w:rsid w:val="7BDC53CD"/>
    <w:rsid w:val="7CA5489D"/>
    <w:rsid w:val="7E1454EC"/>
    <w:rsid w:val="7E7E034F"/>
    <w:rsid w:val="7EAA7A04"/>
    <w:rsid w:val="7FA67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widowControl w:val="0"/>
      <w:numPr>
        <w:ilvl w:val="0"/>
        <w:numId w:val="1"/>
      </w:numPr>
      <w:spacing w:beforeLines="0" w:beforeAutospacing="0" w:afterLines="0" w:afterAutospacing="0" w:line="360" w:lineRule="auto"/>
      <w:ind w:firstLine="0" w:firstLineChars="200"/>
      <w:jc w:val="left"/>
      <w:outlineLvl w:val="0"/>
    </w:pPr>
    <w:rPr>
      <w:rFonts w:eastAsia="黑体" w:asciiTheme="minorAscii" w:hAnsiTheme="minorAscii"/>
      <w:b/>
      <w:color w:val="auto"/>
      <w:kern w:val="44"/>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semiHidden/>
    <w:qFormat/>
    <w:uiPriority w:val="0"/>
    <w:pPr>
      <w:tabs>
        <w:tab w:val="center" w:pos="4153"/>
        <w:tab w:val="right" w:pos="8306"/>
      </w:tabs>
      <w:snapToGrid w:val="0"/>
      <w:jc w:val="righ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semiHidden/>
    <w:qFormat/>
    <w:uiPriority w:val="0"/>
    <w:rPr>
      <w:rFonts w:ascii="Times New Roman" w:hAnsi="Times New Roman" w:eastAsia="宋体"/>
      <w:sz w:val="18"/>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paragraph" w:customStyle="1" w:styleId="10">
    <w:name w:val="标准称谓D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paragraph" w:customStyle="1" w:styleId="11">
    <w:name w:val="正文表标题"/>
    <w:next w:val="12"/>
    <w:qFormat/>
    <w:uiPriority w:val="0"/>
    <w:pPr>
      <w:numPr>
        <w:ilvl w:val="1"/>
        <w:numId w:val="2"/>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12">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3">
    <w:name w:val="注："/>
    <w:next w:val="1"/>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14">
    <w:name w:val="三级无标题条"/>
    <w:basedOn w:val="15"/>
    <w:qFormat/>
    <w:uiPriority w:val="0"/>
    <w:pPr>
      <w:spacing w:before="0" w:beforeLines="0" w:after="0" w:afterLines="0"/>
      <w:jc w:val="both"/>
      <w:outlineLvl w:val="9"/>
    </w:pPr>
    <w:rPr>
      <w:rFonts w:asciiTheme="majorEastAsia" w:eastAsiaTheme="majorEastAsia"/>
    </w:rPr>
  </w:style>
  <w:style w:type="paragraph" w:customStyle="1" w:styleId="15">
    <w:name w:val="三级条标题"/>
    <w:basedOn w:val="16"/>
    <w:next w:val="12"/>
    <w:qFormat/>
    <w:uiPriority w:val="0"/>
    <w:pPr>
      <w:numPr>
        <w:ilvl w:val="3"/>
      </w:numPr>
      <w:outlineLvl w:val="4"/>
    </w:pPr>
  </w:style>
  <w:style w:type="paragraph" w:customStyle="1" w:styleId="16">
    <w:name w:val="二级条标题"/>
    <w:basedOn w:val="17"/>
    <w:next w:val="12"/>
    <w:qFormat/>
    <w:uiPriority w:val="0"/>
    <w:pPr>
      <w:numPr>
        <w:ilvl w:val="2"/>
      </w:numPr>
      <w:spacing w:before="50" w:after="50"/>
      <w:outlineLvl w:val="3"/>
    </w:pPr>
  </w:style>
  <w:style w:type="paragraph" w:customStyle="1" w:styleId="17">
    <w:name w:val="一级条标题"/>
    <w:next w:val="12"/>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Table Text"/>
    <w:basedOn w:val="1"/>
    <w:semiHidden/>
    <w:qFormat/>
    <w:uiPriority w:val="0"/>
    <w:rPr>
      <w:sz w:val="16"/>
      <w:szCs w:val="16"/>
      <w:lang w:val="en-US" w:eastAsia="en-US"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7541</Words>
  <Characters>8011</Characters>
  <TotalTime>10</TotalTime>
  <ScaleCrop>false</ScaleCrop>
  <LinksUpToDate>false</LinksUpToDate>
  <CharactersWithSpaces>8095</CharactersWithSpaces>
  <Application>WPS Office_11.8.2.8361_F1E327BC-269C-435d-A152-05C5408002CA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2024-07-29T15:28:00Z</dcterms:created>
  <dc:creator>User</dc:creator>
  <cp:lastModifiedBy>ThinkBook</cp:lastModifiedBy>
  <dcterms:modified xsi:type="dcterms:W3CDTF">2024-09-10T01:19:59Z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2024-08-07T10:22:58Z</vt:filetime>
  </property>
  <property fmtid="{D5CDD505-2E9C-101B-9397-08002B2CF9AE}" pid="4" name="KSOProductBuildVer">
    <vt:lpwstr>2052-11.8.2.8361</vt:lpwstr>
  </property>
  <property fmtid="{D5CDD505-2E9C-101B-9397-08002B2CF9AE}" pid="5" name="ICV">
    <vt:lpwstr>8C7171C363604DC1BC58215E57CB090F_13</vt:lpwstr>
  </property>
</Properties>
</file>