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9293">
      <w:pPr>
        <w:pStyle w:val="6"/>
        <w:ind w:firstLine="0" w:firstLineChars="0"/>
        <w:jc w:val="center"/>
        <w:rPr>
          <w:rFonts w:ascii="Times New Roman" w:eastAsia="方正小标宋简体"/>
          <w:sz w:val="40"/>
          <w:szCs w:val="40"/>
        </w:rPr>
      </w:pPr>
      <w:r>
        <w:rPr>
          <w:rFonts w:ascii="Times New Roman" w:eastAsia="方正小标宋简体"/>
          <w:sz w:val="40"/>
          <w:szCs w:val="40"/>
        </w:rPr>
        <w:t>四川省</w:t>
      </w:r>
      <w:r>
        <w:rPr>
          <w:rFonts w:hint="eastAsia" w:ascii="Times New Roman" w:eastAsia="方正小标宋简体"/>
          <w:sz w:val="40"/>
          <w:szCs w:val="40"/>
        </w:rPr>
        <w:t>（</w:t>
      </w:r>
      <w:r>
        <w:rPr>
          <w:rFonts w:ascii="Times New Roman" w:eastAsia="方正小标宋简体"/>
          <w:sz w:val="40"/>
          <w:szCs w:val="40"/>
        </w:rPr>
        <w:t>达州市</w:t>
      </w:r>
      <w:r>
        <w:rPr>
          <w:rFonts w:hint="eastAsia" w:ascii="Times New Roman" w:eastAsia="方正小标宋简体"/>
          <w:sz w:val="40"/>
          <w:szCs w:val="40"/>
        </w:rPr>
        <w:t>）</w:t>
      </w:r>
      <w:r>
        <w:rPr>
          <w:rFonts w:ascii="Times New Roman" w:eastAsia="方正小标宋简体"/>
          <w:sz w:val="40"/>
          <w:szCs w:val="40"/>
        </w:rPr>
        <w:t>地方标准</w:t>
      </w:r>
    </w:p>
    <w:p w14:paraId="20F66138">
      <w:pPr>
        <w:pStyle w:val="6"/>
        <w:ind w:firstLine="0" w:firstLineChars="0"/>
        <w:jc w:val="center"/>
        <w:rPr>
          <w:rFonts w:ascii="Times New Roman" w:eastAsia="方正小标宋简体"/>
          <w:sz w:val="40"/>
          <w:szCs w:val="40"/>
        </w:rPr>
      </w:pPr>
      <w:r>
        <w:rPr>
          <w:rFonts w:ascii="Times New Roman" w:eastAsia="方正小标宋简体"/>
          <w:sz w:val="40"/>
          <w:szCs w:val="40"/>
        </w:rPr>
        <w:t>《</w:t>
      </w:r>
      <w:r>
        <w:rPr>
          <w:rFonts w:hint="eastAsia" w:ascii="Times New Roman" w:eastAsia="方正小标宋简体"/>
          <w:sz w:val="40"/>
          <w:szCs w:val="40"/>
          <w:lang w:val="en-US" w:eastAsia="zh-CN"/>
        </w:rPr>
        <w:t>磷石膏应用技术</w:t>
      </w:r>
      <w:r>
        <w:rPr>
          <w:rFonts w:hint="eastAsia" w:ascii="Times New Roman" w:eastAsia="方正小标宋简体"/>
          <w:sz w:val="40"/>
          <w:szCs w:val="40"/>
        </w:rPr>
        <w:t>规范</w:t>
      </w:r>
      <w:r>
        <w:rPr>
          <w:rFonts w:ascii="Times New Roman" w:eastAsia="方正小标宋简体"/>
          <w:sz w:val="40"/>
          <w:szCs w:val="40"/>
        </w:rPr>
        <w:t>》</w:t>
      </w:r>
    </w:p>
    <w:p w14:paraId="2EC14E30">
      <w:pPr>
        <w:pStyle w:val="6"/>
        <w:ind w:firstLine="0" w:firstLineChars="0"/>
        <w:jc w:val="center"/>
        <w:rPr>
          <w:rFonts w:ascii="Times New Roman" w:eastAsia="方正小标宋简体"/>
          <w:sz w:val="72"/>
          <w:szCs w:val="72"/>
        </w:rPr>
      </w:pPr>
    </w:p>
    <w:p w14:paraId="5BCBA687">
      <w:pPr>
        <w:pStyle w:val="6"/>
        <w:ind w:firstLine="0" w:firstLineChars="0"/>
        <w:jc w:val="center"/>
        <w:rPr>
          <w:rFonts w:ascii="Times New Roman" w:eastAsia="方正小标宋简体"/>
          <w:sz w:val="72"/>
          <w:szCs w:val="72"/>
        </w:rPr>
      </w:pPr>
    </w:p>
    <w:p w14:paraId="57A91A5A">
      <w:pPr>
        <w:pStyle w:val="6"/>
        <w:ind w:firstLine="0" w:firstLineChars="0"/>
        <w:jc w:val="center"/>
        <w:rPr>
          <w:rFonts w:ascii="Times New Roman" w:eastAsia="方正小标宋简体"/>
          <w:sz w:val="72"/>
          <w:szCs w:val="72"/>
        </w:rPr>
      </w:pPr>
    </w:p>
    <w:p w14:paraId="033C07A9">
      <w:pPr>
        <w:pStyle w:val="6"/>
        <w:ind w:firstLine="0" w:firstLineChars="0"/>
        <w:jc w:val="center"/>
        <w:rPr>
          <w:rFonts w:ascii="Times New Roman" w:eastAsia="方正小标宋简体"/>
          <w:sz w:val="72"/>
          <w:szCs w:val="72"/>
        </w:rPr>
      </w:pPr>
    </w:p>
    <w:p w14:paraId="7F3CB9EA">
      <w:pPr>
        <w:pStyle w:val="6"/>
        <w:ind w:firstLine="0" w:firstLineChars="0"/>
        <w:jc w:val="center"/>
        <w:rPr>
          <w:rFonts w:ascii="Times New Roman" w:eastAsia="方正小标宋简体"/>
          <w:sz w:val="72"/>
          <w:szCs w:val="72"/>
        </w:rPr>
      </w:pPr>
      <w:r>
        <w:rPr>
          <w:rFonts w:ascii="Times New Roman" w:eastAsia="方正小标宋简体"/>
          <w:sz w:val="72"/>
          <w:szCs w:val="72"/>
        </w:rPr>
        <w:t>编制说明</w:t>
      </w:r>
    </w:p>
    <w:p w14:paraId="2EBE770F">
      <w:pPr>
        <w:pStyle w:val="6"/>
        <w:ind w:firstLine="0" w:firstLineChars="0"/>
        <w:jc w:val="center"/>
        <w:rPr>
          <w:rFonts w:ascii="Times New Roman" w:eastAsia="方正小标宋简体"/>
          <w:sz w:val="72"/>
          <w:szCs w:val="72"/>
        </w:rPr>
      </w:pPr>
    </w:p>
    <w:p w14:paraId="37D2423B">
      <w:pPr>
        <w:pStyle w:val="6"/>
        <w:ind w:firstLine="0" w:firstLineChars="0"/>
        <w:jc w:val="center"/>
        <w:rPr>
          <w:rFonts w:ascii="Times New Roman" w:eastAsia="方正小标宋简体"/>
          <w:sz w:val="72"/>
          <w:szCs w:val="72"/>
        </w:rPr>
      </w:pPr>
    </w:p>
    <w:p w14:paraId="4AE8D7EB">
      <w:pPr>
        <w:pStyle w:val="6"/>
        <w:ind w:firstLine="0" w:firstLineChars="0"/>
        <w:jc w:val="center"/>
        <w:rPr>
          <w:rFonts w:ascii="Times New Roman" w:eastAsia="方正小标宋简体"/>
          <w:sz w:val="72"/>
          <w:szCs w:val="72"/>
        </w:rPr>
      </w:pPr>
    </w:p>
    <w:p w14:paraId="6DF94E8D">
      <w:pPr>
        <w:pStyle w:val="6"/>
        <w:ind w:firstLine="0" w:firstLineChars="0"/>
        <w:jc w:val="center"/>
        <w:rPr>
          <w:rFonts w:ascii="Times New Roman" w:eastAsia="方正小标宋简体"/>
          <w:sz w:val="72"/>
          <w:szCs w:val="72"/>
        </w:rPr>
      </w:pPr>
    </w:p>
    <w:p w14:paraId="5E987ADE">
      <w:pPr>
        <w:pStyle w:val="6"/>
        <w:ind w:firstLine="0" w:firstLineChars="0"/>
        <w:jc w:val="center"/>
        <w:rPr>
          <w:rFonts w:ascii="Times New Roman" w:eastAsia="方正小标宋简体"/>
          <w:sz w:val="72"/>
          <w:szCs w:val="72"/>
        </w:rPr>
      </w:pPr>
    </w:p>
    <w:p w14:paraId="4CD9E823">
      <w:pPr>
        <w:pStyle w:val="6"/>
        <w:ind w:firstLine="0" w:firstLineChars="0"/>
        <w:jc w:val="center"/>
        <w:rPr>
          <w:rFonts w:ascii="Times New Roman" w:eastAsia="方正小标宋简体"/>
          <w:sz w:val="28"/>
          <w:szCs w:val="28"/>
        </w:rPr>
      </w:pPr>
      <w:r>
        <w:rPr>
          <w:rFonts w:ascii="Times New Roman" w:eastAsia="方正小标宋简体"/>
          <w:sz w:val="28"/>
          <w:szCs w:val="28"/>
        </w:rPr>
        <w:t>标准起草工作组</w:t>
      </w:r>
    </w:p>
    <w:p w14:paraId="5DAA6E6F">
      <w:pPr>
        <w:pStyle w:val="6"/>
        <w:ind w:firstLine="0" w:firstLineChars="0"/>
        <w:jc w:val="center"/>
        <w:rPr>
          <w:rFonts w:ascii="Times New Roman" w:eastAsia="方正小标宋简体"/>
          <w:sz w:val="28"/>
          <w:szCs w:val="28"/>
        </w:rPr>
      </w:pPr>
      <w:r>
        <w:rPr>
          <w:rFonts w:ascii="Times New Roman" w:eastAsia="方正小标宋简体"/>
          <w:sz w:val="28"/>
          <w:szCs w:val="28"/>
        </w:rPr>
        <w:t>202</w:t>
      </w:r>
      <w:r>
        <w:rPr>
          <w:rFonts w:hint="eastAsia" w:ascii="Times New Roman" w:eastAsia="方正小标宋简体"/>
          <w:sz w:val="28"/>
          <w:szCs w:val="28"/>
          <w:lang w:val="en-US" w:eastAsia="zh-CN"/>
        </w:rPr>
        <w:t>4</w:t>
      </w:r>
      <w:r>
        <w:rPr>
          <w:rFonts w:ascii="Times New Roman" w:eastAsia="方正小标宋简体"/>
          <w:sz w:val="28"/>
          <w:szCs w:val="28"/>
        </w:rPr>
        <w:t>年</w:t>
      </w:r>
      <w:r>
        <w:rPr>
          <w:rFonts w:hint="eastAsia" w:ascii="Times New Roman" w:eastAsia="方正小标宋简体"/>
          <w:sz w:val="28"/>
          <w:szCs w:val="28"/>
          <w:lang w:val="en-US" w:eastAsia="zh-CN"/>
        </w:rPr>
        <w:t>9</w:t>
      </w:r>
      <w:bookmarkStart w:id="0" w:name="_GoBack"/>
      <w:bookmarkEnd w:id="0"/>
      <w:r>
        <w:rPr>
          <w:rFonts w:ascii="Times New Roman" w:eastAsia="方正小标宋简体"/>
          <w:sz w:val="28"/>
          <w:szCs w:val="28"/>
        </w:rPr>
        <w:t>月</w:t>
      </w:r>
    </w:p>
    <w:p w14:paraId="3CEE151E">
      <w:pPr>
        <w:pStyle w:val="6"/>
        <w:spacing w:line="560" w:lineRule="exact"/>
        <w:jc w:val="left"/>
        <w:outlineLvl w:val="0"/>
        <w:rPr>
          <w:rFonts w:ascii="Times New Roman" w:eastAsia="黑体"/>
          <w:szCs w:val="21"/>
        </w:rPr>
        <w:sectPr>
          <w:pgSz w:w="11906" w:h="16838"/>
          <w:pgMar w:top="2154" w:right="1587" w:bottom="1701" w:left="1587" w:header="851" w:footer="992" w:gutter="0"/>
          <w:cols w:space="0" w:num="1"/>
          <w:docGrid w:type="lines" w:linePitch="312" w:charSpace="0"/>
        </w:sectPr>
      </w:pPr>
    </w:p>
    <w:p w14:paraId="4F47F92D">
      <w:pPr>
        <w:pStyle w:val="6"/>
        <w:spacing w:line="560" w:lineRule="exact"/>
        <w:ind w:firstLine="640"/>
        <w:jc w:val="left"/>
        <w:outlineLvl w:val="0"/>
        <w:rPr>
          <w:rFonts w:ascii="Times New Roman" w:eastAsia="黑体"/>
          <w:sz w:val="32"/>
          <w:szCs w:val="32"/>
        </w:rPr>
      </w:pPr>
      <w:r>
        <w:rPr>
          <w:rFonts w:ascii="Times New Roman" w:eastAsia="黑体"/>
          <w:sz w:val="32"/>
          <w:szCs w:val="32"/>
        </w:rPr>
        <w:t>一、工作简况</w:t>
      </w:r>
    </w:p>
    <w:p w14:paraId="70130DDA">
      <w:pPr>
        <w:pStyle w:val="6"/>
        <w:spacing w:line="560" w:lineRule="exact"/>
        <w:ind w:firstLine="640"/>
        <w:jc w:val="left"/>
        <w:outlineLvl w:val="1"/>
        <w:rPr>
          <w:rFonts w:ascii="Times New Roman" w:eastAsia="仿宋_GB2312"/>
          <w:sz w:val="32"/>
          <w:szCs w:val="32"/>
        </w:rPr>
      </w:pPr>
      <w:r>
        <w:rPr>
          <w:rFonts w:ascii="Times New Roman" w:eastAsia="楷体"/>
          <w:sz w:val="32"/>
          <w:szCs w:val="32"/>
        </w:rPr>
        <w:t>（一）任务来源</w:t>
      </w:r>
    </w:p>
    <w:p w14:paraId="0059E1D8">
      <w:pPr>
        <w:spacing w:line="560" w:lineRule="exact"/>
        <w:ind w:firstLine="640" w:firstLineChars="200"/>
        <w:rPr>
          <w:rFonts w:hint="eastAsia" w:eastAsia="仿宋_GB2312"/>
          <w:sz w:val="32"/>
          <w:szCs w:val="32"/>
        </w:rPr>
      </w:pPr>
      <w:r>
        <w:rPr>
          <w:rFonts w:hint="eastAsia" w:eastAsia="仿宋_GB2312"/>
          <w:sz w:val="32"/>
          <w:szCs w:val="32"/>
        </w:rPr>
        <w:t>2021年3月，国家发改委发布的《关于“十四五”大宗固体废弃物综合利用的指导意见》指出:要拓宽磷石膏综合利用途径，一方面加大推广磷石膏在生产水泥和新型建筑材料等领域的应用，另一方面在符合环境要求的前提下，探索磷石膏应用于土壤改良、路基材料等领域。</w:t>
      </w:r>
    </w:p>
    <w:p w14:paraId="3F54C0D3">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7月，《“十四五”循环经济发展规划》明确进一步拓宽磷石膏等大宗固废资源化利用渠道，尤其是扩大在生态修复、绿色建材等应用领域的利用规模，用大宗固废替代原生资源，减少对原生资源的开采利用。</w:t>
      </w:r>
    </w:p>
    <w:p w14:paraId="4510B6C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达州市市场监管局紧紧按照市政府推动磷石膏综合利用要求，在产品质量、标准化、知识产权和检验检测等方面落实服务措施，务求服务实效。成立服务磷石膏综合利用工作专班，制定出台《达州市市场监督管理局服务磷石膏综合利用工作方案》。同时强化标准技术引领，推动制定发布磷石膏产品在房建、公路、市政、水泥等领域应用相关标准；强化认证认可管理，引导和支持磷石膏产品企业获得国家绿色产品认证；强化质量品牌提升，着力培育磷石膏“专精特新”企业和产品品牌，实现磷石膏产业高端、产品高质、产出高效，提升我市磷化工品牌竞争力和市场竞争力；强化产品质量监管，严厉查处生产、销售和使用不合格磷石膏建材行为，严防不合格磷石膏建材入场使用。因此，</w:t>
      </w:r>
      <w:r>
        <w:rPr>
          <w:rFonts w:hint="eastAsia" w:ascii="Times New Roman" w:hAnsi="Times New Roman" w:eastAsia="仿宋_GB2312" w:cs="Times New Roman"/>
          <w:kern w:val="2"/>
          <w:sz w:val="32"/>
          <w:szCs w:val="32"/>
          <w:lang w:val="en-US" w:eastAsia="zh-CN" w:bidi="ar-SA"/>
        </w:rPr>
        <w:t>达州市在磷石膏无害化处理实践中，通过提高无害化处理工艺水平、开发磷石膏综合利用装置等，使处理后达到使用要求的磷石膏可以更多更广的得到回收利用，作为生产水泥缓凝剂、土壤调理剂以及建筑材料、生态修复材料等产品的资源，2023年达州市的磷石膏利用率已达101.27%，为《磷石膏应用技术》标准的制定奠定了坚实的基础。</w:t>
      </w:r>
    </w:p>
    <w:p w14:paraId="6C392601">
      <w:pPr>
        <w:spacing w:line="560" w:lineRule="exact"/>
        <w:ind w:firstLine="640"/>
        <w:rPr>
          <w:rFonts w:hint="default" w:eastAsia="仿宋_GB2312"/>
          <w:sz w:val="32"/>
          <w:szCs w:val="32"/>
          <w:lang w:val="en-US" w:eastAsia="zh-CN"/>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年3月，达州市市场监督管理局印发《</w:t>
      </w:r>
      <w:r>
        <w:rPr>
          <w:rFonts w:hint="eastAsia" w:eastAsia="仿宋_GB2312"/>
          <w:sz w:val="32"/>
          <w:szCs w:val="32"/>
        </w:rPr>
        <w:t>2024年度达州市地方标准拟制（修）订项目立项计划公示</w:t>
      </w:r>
      <w:r>
        <w:rPr>
          <w:rFonts w:eastAsia="仿宋_GB2312"/>
          <w:sz w:val="32"/>
          <w:szCs w:val="32"/>
        </w:rPr>
        <w:t>》，</w:t>
      </w:r>
      <w:r>
        <w:rPr>
          <w:rFonts w:hint="eastAsia" w:eastAsia="仿宋_GB2312"/>
          <w:sz w:val="32"/>
          <w:szCs w:val="32"/>
        </w:rPr>
        <w:t>本标准</w:t>
      </w:r>
      <w:r>
        <w:rPr>
          <w:rFonts w:eastAsia="仿宋_GB2312"/>
          <w:sz w:val="32"/>
          <w:szCs w:val="32"/>
        </w:rPr>
        <w:t>列入该批地方标准编制的立项计划，第</w:t>
      </w:r>
      <w:r>
        <w:rPr>
          <w:rFonts w:hint="eastAsia" w:eastAsia="仿宋_GB2312"/>
          <w:sz w:val="32"/>
          <w:szCs w:val="32"/>
          <w:lang w:val="en-US" w:eastAsia="zh-CN"/>
        </w:rPr>
        <w:t>27</w:t>
      </w:r>
      <w:r>
        <w:rPr>
          <w:rFonts w:eastAsia="仿宋_GB2312"/>
          <w:sz w:val="32"/>
          <w:szCs w:val="32"/>
        </w:rPr>
        <w:t>项就是本标准。</w:t>
      </w:r>
    </w:p>
    <w:p w14:paraId="23511DB7">
      <w:pPr>
        <w:pStyle w:val="6"/>
        <w:spacing w:line="560" w:lineRule="exact"/>
        <w:ind w:firstLine="640"/>
        <w:jc w:val="left"/>
        <w:outlineLvl w:val="1"/>
        <w:rPr>
          <w:rFonts w:ascii="Times New Roman" w:eastAsia="楷体"/>
          <w:sz w:val="32"/>
          <w:szCs w:val="32"/>
        </w:rPr>
      </w:pPr>
      <w:r>
        <w:rPr>
          <w:rFonts w:ascii="Times New Roman" w:eastAsia="楷体"/>
          <w:sz w:val="32"/>
          <w:szCs w:val="32"/>
        </w:rPr>
        <w:t>（二）编制单位</w:t>
      </w:r>
    </w:p>
    <w:p w14:paraId="7D5F47F9">
      <w:pPr>
        <w:spacing w:line="560" w:lineRule="exact"/>
        <w:ind w:firstLine="640" w:firstLineChars="200"/>
        <w:rPr>
          <w:rFonts w:eastAsia="仿宋_GB2312"/>
          <w:sz w:val="32"/>
          <w:szCs w:val="32"/>
        </w:rPr>
      </w:pPr>
      <w:r>
        <w:rPr>
          <w:rFonts w:hint="eastAsia" w:eastAsia="仿宋_GB2312"/>
          <w:sz w:val="32"/>
          <w:szCs w:val="32"/>
        </w:rPr>
        <w:t>四川景达新材料科技有限公司、瓮福达州化工有限责任公司、四川省交通勘察设计研究院有限公司</w:t>
      </w:r>
      <w:r>
        <w:rPr>
          <w:rFonts w:hint="eastAsia" w:eastAsia="仿宋_GB2312"/>
          <w:sz w:val="32"/>
          <w:szCs w:val="32"/>
          <w:lang w:eastAsia="zh-CN"/>
        </w:rPr>
        <w:t>、四川省建材工业科学研究院有限公司、重庆交通大学、</w:t>
      </w:r>
      <w:r>
        <w:rPr>
          <w:rFonts w:hint="eastAsia" w:eastAsia="仿宋_GB2312"/>
          <w:sz w:val="32"/>
          <w:szCs w:val="32"/>
        </w:rPr>
        <w:t>四川万豪企业管理咨询有限公司</w:t>
      </w:r>
      <w:r>
        <w:rPr>
          <w:rFonts w:eastAsia="仿宋_GB2312"/>
          <w:sz w:val="32"/>
          <w:szCs w:val="32"/>
        </w:rPr>
        <w:t>。</w:t>
      </w:r>
    </w:p>
    <w:p w14:paraId="11865704">
      <w:pPr>
        <w:pStyle w:val="6"/>
        <w:spacing w:line="560" w:lineRule="exact"/>
        <w:ind w:firstLine="640"/>
        <w:jc w:val="left"/>
        <w:outlineLvl w:val="1"/>
        <w:rPr>
          <w:rFonts w:ascii="Times New Roman" w:eastAsia="楷体"/>
          <w:sz w:val="32"/>
          <w:szCs w:val="32"/>
        </w:rPr>
      </w:pPr>
      <w:r>
        <w:rPr>
          <w:rFonts w:ascii="Times New Roman" w:eastAsia="楷体"/>
          <w:sz w:val="32"/>
          <w:szCs w:val="32"/>
        </w:rPr>
        <w:t>（三）制（修）订标准的必要性、目的和意义</w:t>
      </w:r>
    </w:p>
    <w:p w14:paraId="0D636492">
      <w:pPr>
        <w:spacing w:line="560" w:lineRule="exact"/>
        <w:ind w:firstLine="643" w:firstLineChars="200"/>
        <w:rPr>
          <w:rFonts w:eastAsia="仿宋_GB2312"/>
          <w:b/>
          <w:bCs/>
          <w:sz w:val="32"/>
          <w:szCs w:val="32"/>
        </w:rPr>
      </w:pPr>
      <w:r>
        <w:rPr>
          <w:rFonts w:eastAsia="仿宋_GB2312"/>
          <w:b/>
          <w:bCs/>
          <w:sz w:val="32"/>
          <w:szCs w:val="32"/>
        </w:rPr>
        <w:t>1.必要性</w:t>
      </w:r>
    </w:p>
    <w:p w14:paraId="76F4C3EC">
      <w:pPr>
        <w:spacing w:line="560" w:lineRule="exact"/>
        <w:ind w:firstLine="640" w:firstLineChars="200"/>
        <w:rPr>
          <w:rFonts w:hint="eastAsia" w:eastAsia="仿宋_GB2312"/>
          <w:sz w:val="32"/>
          <w:szCs w:val="32"/>
        </w:rPr>
      </w:pPr>
      <w:r>
        <w:rPr>
          <w:rFonts w:hint="eastAsia" w:eastAsia="仿宋_GB2312"/>
          <w:sz w:val="32"/>
          <w:szCs w:val="32"/>
        </w:rPr>
        <w:t>磷化工产业作为一个高能耗、高污染的行业，磷化工产业产生的废渣、废水和废气的污染情况目前仍然严重，造成生态环境的破坏，最终危害人的身体健康。磷石膏是湿法磷酸工艺过程的副产物，是磷复肥生产企业产生的主要固体废物，磷石膏的产生量与磷复肥的产生量成正比关系。大量磷石膏的堆积不仅占用土地资源，还存在安全和环保隐患。</w:t>
      </w:r>
    </w:p>
    <w:p w14:paraId="4C9CF852">
      <w:pPr>
        <w:spacing w:line="560" w:lineRule="exact"/>
        <w:ind w:firstLine="640" w:firstLineChars="200"/>
        <w:rPr>
          <w:rFonts w:eastAsia="仿宋_GB2312"/>
          <w:sz w:val="32"/>
          <w:szCs w:val="32"/>
        </w:rPr>
      </w:pPr>
      <w:r>
        <w:rPr>
          <w:rFonts w:hint="eastAsia" w:eastAsia="仿宋_GB2312"/>
          <w:sz w:val="32"/>
          <w:szCs w:val="32"/>
        </w:rPr>
        <w:t>我国云、贵、川地区主要以湿法制取磷酸，而磷石膏是湿法制取磷酸产生的固体废物，每生产1t磷酸会生成磷石膏约4.3t，2019年我国磷石膏产量为7500万t，而利用率却只有3000万t，有大半磷石膏依旧没有进行有效利用，我国现在已有超过5亿t磷石膏堆积。由于国内很多企业缺乏对磷石膏利用技术进行深入的研究和分析，生产工艺技术装备缺乏系统的基础理论与实际生产相结合的实例工厂指导，磷石膏的综合处理与资源化利用成为国内磷化工企业当前亟待解决的迫切任务。因此，丰富磷石膏运用途径、提升磷石膏利用率实现工业固体废弃物资源化利用对地区的绿色高质量发展具有重要意义，而《磷石膏应用技术规范》的制定可为解决该问题提供一条重要途径。</w:t>
      </w:r>
    </w:p>
    <w:p w14:paraId="049AD3AD">
      <w:pPr>
        <w:spacing w:line="560" w:lineRule="exact"/>
        <w:ind w:firstLine="643" w:firstLineChars="200"/>
        <w:rPr>
          <w:rFonts w:eastAsia="仿宋_GB2312"/>
          <w:b/>
          <w:bCs/>
          <w:sz w:val="32"/>
          <w:szCs w:val="32"/>
        </w:rPr>
      </w:pPr>
      <w:r>
        <w:rPr>
          <w:rFonts w:eastAsia="仿宋_GB2312"/>
          <w:b/>
          <w:bCs/>
          <w:sz w:val="32"/>
          <w:szCs w:val="32"/>
        </w:rPr>
        <w:t>2.目的及意义</w:t>
      </w:r>
    </w:p>
    <w:p w14:paraId="28873C37">
      <w:pPr>
        <w:spacing w:line="560" w:lineRule="exact"/>
        <w:ind w:firstLine="640" w:firstLineChars="200"/>
        <w:rPr>
          <w:rFonts w:eastAsia="仿宋_GB2312"/>
          <w:sz w:val="32"/>
          <w:szCs w:val="32"/>
        </w:rPr>
      </w:pPr>
      <w:r>
        <w:rPr>
          <w:rFonts w:hint="eastAsia" w:eastAsia="仿宋_GB2312"/>
          <w:sz w:val="32"/>
          <w:szCs w:val="32"/>
        </w:rPr>
        <w:t>四川景达新材料科技有限公司以工业固废磷石膏为主要原料，向社会提供绿色环保、优质价廉的石膏类新型建材、交通、市政领域等产品。公司具有完善的、系统的产品检测设备和专业检测人员，在工业副产石膏综合处理及资源化产品的研发、生产、销售、应用方面积累了丰富经验和具备资源、装备及区域等诸多优势，公司实施循环经济发展引领战略，秉持“诚信服务，科技创新”的文化理念，聚焦国家环保战略，做好工业副产石膏的资源化利用，践行“变废为宝、科技创新、保护环境、回报社会”的宗旨，打造一站式专业工业副产石膏综合处理平台，实现经济效益和生态效益的双赢</w:t>
      </w:r>
      <w:r>
        <w:rPr>
          <w:rFonts w:hint="eastAsia" w:eastAsia="仿宋_GB2312"/>
          <w:sz w:val="32"/>
          <w:szCs w:val="32"/>
          <w:lang w:eastAsia="zh-CN"/>
        </w:rPr>
        <w:t>，</w:t>
      </w:r>
      <w:r>
        <w:rPr>
          <w:rFonts w:hint="eastAsia" w:eastAsia="仿宋_GB2312"/>
          <w:sz w:val="32"/>
          <w:szCs w:val="32"/>
        </w:rPr>
        <w:t>促进城市建设高质量发展</w:t>
      </w:r>
      <w:r>
        <w:rPr>
          <w:rFonts w:eastAsia="仿宋_GB2312"/>
          <w:sz w:val="32"/>
          <w:szCs w:val="32"/>
        </w:rPr>
        <w:t>。</w:t>
      </w:r>
    </w:p>
    <w:p w14:paraId="6A6DFD04">
      <w:pPr>
        <w:pStyle w:val="6"/>
        <w:spacing w:line="560" w:lineRule="exact"/>
        <w:ind w:firstLine="640"/>
        <w:jc w:val="left"/>
        <w:outlineLvl w:val="1"/>
        <w:rPr>
          <w:rFonts w:ascii="Times New Roman" w:eastAsia="楷体"/>
          <w:sz w:val="32"/>
          <w:szCs w:val="32"/>
        </w:rPr>
      </w:pPr>
      <w:r>
        <w:rPr>
          <w:rFonts w:ascii="Times New Roman" w:eastAsia="楷体"/>
          <w:sz w:val="32"/>
          <w:szCs w:val="32"/>
        </w:rPr>
        <w:t>（四）主要工作过程</w:t>
      </w:r>
    </w:p>
    <w:p w14:paraId="328C3306">
      <w:pPr>
        <w:spacing w:line="560" w:lineRule="exact"/>
        <w:ind w:firstLine="643" w:firstLineChars="200"/>
        <w:rPr>
          <w:rFonts w:eastAsia="仿宋_GB2312"/>
          <w:b/>
          <w:bCs/>
          <w:sz w:val="32"/>
          <w:szCs w:val="32"/>
        </w:rPr>
      </w:pPr>
      <w:r>
        <w:rPr>
          <w:rFonts w:eastAsia="仿宋_GB2312"/>
          <w:b/>
          <w:bCs/>
          <w:sz w:val="32"/>
          <w:szCs w:val="32"/>
        </w:rPr>
        <w:t>1.成立标准起草工作组</w:t>
      </w:r>
    </w:p>
    <w:p w14:paraId="62CF69DE">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年4月，达州市</w:t>
      </w:r>
      <w:r>
        <w:rPr>
          <w:rFonts w:hint="eastAsia" w:eastAsia="仿宋_GB2312"/>
          <w:sz w:val="32"/>
          <w:szCs w:val="32"/>
          <w:lang w:val="en-US" w:eastAsia="zh-CN"/>
        </w:rPr>
        <w:t>经济和信息化局</w:t>
      </w:r>
      <w:r>
        <w:rPr>
          <w:rFonts w:eastAsia="仿宋_GB2312"/>
          <w:sz w:val="32"/>
          <w:szCs w:val="32"/>
        </w:rPr>
        <w:t>联合标准编制专业机构，成立标准起草工作组，明确共同研制地方标准等相关事宜，并对标准编制工作进行总体部署。</w:t>
      </w:r>
    </w:p>
    <w:p w14:paraId="184DAF0F">
      <w:pPr>
        <w:spacing w:line="560" w:lineRule="exact"/>
        <w:ind w:firstLine="643" w:firstLineChars="200"/>
        <w:rPr>
          <w:rFonts w:eastAsia="仿宋_GB2312"/>
          <w:b/>
          <w:bCs/>
          <w:sz w:val="32"/>
          <w:szCs w:val="32"/>
        </w:rPr>
      </w:pPr>
      <w:r>
        <w:rPr>
          <w:rFonts w:eastAsia="仿宋_GB2312"/>
          <w:b/>
          <w:bCs/>
          <w:sz w:val="32"/>
          <w:szCs w:val="32"/>
        </w:rPr>
        <w:t>2.前期调研和资料收集</w:t>
      </w:r>
    </w:p>
    <w:p w14:paraId="0BC3ACA6">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5</w:t>
      </w:r>
      <w:r>
        <w:rPr>
          <w:rFonts w:eastAsia="仿宋_GB2312"/>
          <w:sz w:val="32"/>
          <w:szCs w:val="32"/>
        </w:rPr>
        <w:t>月，工作组收集</w:t>
      </w:r>
      <w:r>
        <w:rPr>
          <w:rFonts w:hint="eastAsia" w:eastAsia="仿宋_GB2312"/>
          <w:sz w:val="32"/>
          <w:szCs w:val="32"/>
          <w:lang w:val="en-US" w:eastAsia="zh-CN"/>
        </w:rPr>
        <w:t>景达新材料科技有限公司磷石膏应用技术的</w:t>
      </w:r>
      <w:r>
        <w:rPr>
          <w:rFonts w:eastAsia="仿宋_GB2312"/>
          <w:sz w:val="32"/>
          <w:szCs w:val="32"/>
        </w:rPr>
        <w:t>相关资料，了解</w:t>
      </w:r>
      <w:r>
        <w:rPr>
          <w:rFonts w:hint="eastAsia" w:eastAsia="仿宋_GB2312"/>
          <w:sz w:val="32"/>
          <w:szCs w:val="32"/>
          <w:lang w:eastAsia="zh-CN"/>
        </w:rPr>
        <w:t>现状</w:t>
      </w:r>
      <w:r>
        <w:rPr>
          <w:rFonts w:eastAsia="仿宋_GB2312"/>
          <w:sz w:val="32"/>
          <w:szCs w:val="32"/>
        </w:rPr>
        <w:t>，参考已发布的相关法律法规规定，通过电话、微信、短信等方式与相关专家保持交流沟通，讨论标准名称、框架及相关内容，并到达州市</w:t>
      </w:r>
      <w:r>
        <w:rPr>
          <w:rFonts w:hint="eastAsia" w:eastAsia="仿宋_GB2312"/>
          <w:sz w:val="32"/>
          <w:szCs w:val="32"/>
        </w:rPr>
        <w:t>相关部门和单位进行</w:t>
      </w:r>
      <w:r>
        <w:rPr>
          <w:rFonts w:eastAsia="仿宋_GB2312"/>
          <w:sz w:val="32"/>
          <w:szCs w:val="32"/>
        </w:rPr>
        <w:t>实地调研，与工作人员就</w:t>
      </w:r>
      <w:r>
        <w:rPr>
          <w:rFonts w:hint="eastAsia" w:eastAsia="仿宋_GB2312"/>
          <w:sz w:val="32"/>
          <w:szCs w:val="32"/>
          <w:lang w:val="en-US" w:eastAsia="zh-CN"/>
        </w:rPr>
        <w:t>磷石膏应用技术</w:t>
      </w:r>
      <w:r>
        <w:rPr>
          <w:rFonts w:eastAsia="仿宋_GB2312"/>
          <w:sz w:val="32"/>
          <w:szCs w:val="32"/>
        </w:rPr>
        <w:t>工作进行深入研讨，通过以上工作准备，为标准</w:t>
      </w:r>
      <w:r>
        <w:rPr>
          <w:rFonts w:hint="eastAsia" w:eastAsia="仿宋_GB2312"/>
          <w:sz w:val="32"/>
          <w:szCs w:val="32"/>
          <w:lang w:eastAsia="zh-CN"/>
        </w:rPr>
        <w:t>内容的翔实</w:t>
      </w:r>
      <w:r>
        <w:rPr>
          <w:rFonts w:eastAsia="仿宋_GB2312"/>
          <w:sz w:val="32"/>
          <w:szCs w:val="32"/>
        </w:rPr>
        <w:t>性、可行性奠定了基础。</w:t>
      </w:r>
    </w:p>
    <w:p w14:paraId="5F052F83">
      <w:pPr>
        <w:spacing w:line="560" w:lineRule="exact"/>
        <w:ind w:firstLine="643" w:firstLineChars="200"/>
        <w:rPr>
          <w:rFonts w:eastAsia="仿宋_GB2312"/>
          <w:b/>
          <w:bCs/>
          <w:sz w:val="32"/>
          <w:szCs w:val="32"/>
        </w:rPr>
      </w:pPr>
      <w:r>
        <w:rPr>
          <w:rFonts w:eastAsia="仿宋_GB2312"/>
          <w:b/>
          <w:bCs/>
          <w:sz w:val="32"/>
          <w:szCs w:val="32"/>
        </w:rPr>
        <w:t>3.标准起草</w:t>
      </w:r>
    </w:p>
    <w:p w14:paraId="21BE9E81">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6</w:t>
      </w:r>
      <w:r>
        <w:rPr>
          <w:rFonts w:eastAsia="仿宋_GB2312"/>
          <w:sz w:val="32"/>
          <w:szCs w:val="32"/>
        </w:rPr>
        <w:t>月，起草工作组梳理分析收集的资料，结合调研情况，形成标准初稿，且针对存在的问题多次召开内部会议，并对标准框架、技术内容进行详细讨论。起草工作组在就标准初稿与相关专家进行交流征求意见，对标准中的具体要求或指标进行研究核对，最终形成标准征求意见稿。</w:t>
      </w:r>
    </w:p>
    <w:p w14:paraId="1ED9D495">
      <w:pPr>
        <w:spacing w:line="560" w:lineRule="exact"/>
        <w:ind w:firstLine="643" w:firstLineChars="200"/>
        <w:rPr>
          <w:rFonts w:eastAsia="仿宋_GB2312"/>
          <w:b/>
          <w:bCs/>
          <w:sz w:val="32"/>
          <w:szCs w:val="32"/>
        </w:rPr>
      </w:pPr>
      <w:r>
        <w:rPr>
          <w:rFonts w:eastAsia="仿宋_GB2312"/>
          <w:b/>
          <w:bCs/>
          <w:sz w:val="32"/>
          <w:szCs w:val="32"/>
        </w:rPr>
        <w:t>4.意见征求</w:t>
      </w:r>
    </w:p>
    <w:p w14:paraId="3792FEE7">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-8月</w:t>
      </w:r>
      <w:r>
        <w:rPr>
          <w:rFonts w:eastAsia="仿宋_GB2312"/>
          <w:sz w:val="32"/>
          <w:szCs w:val="32"/>
        </w:rPr>
        <w:t>，标准起草工作组计划拟将标准征求意见稿向相关专家</w:t>
      </w:r>
      <w:r>
        <w:rPr>
          <w:rFonts w:hint="eastAsia" w:eastAsia="仿宋_GB2312"/>
          <w:sz w:val="32"/>
          <w:szCs w:val="32"/>
        </w:rPr>
        <w:t>、相关企业以及各县区</w:t>
      </w:r>
      <w:r>
        <w:rPr>
          <w:rFonts w:eastAsia="仿宋_GB2312"/>
          <w:sz w:val="32"/>
          <w:szCs w:val="32"/>
        </w:rPr>
        <w:t>征求意见，充分收集反馈意见并对标准进行修改和完善。</w:t>
      </w:r>
    </w:p>
    <w:p w14:paraId="657B0C27">
      <w:pPr>
        <w:spacing w:line="56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月，标准起草工作组将标准征求意见稿送至达州市市场监督管理局申请公示，向社会公开征求意见。</w:t>
      </w:r>
    </w:p>
    <w:p w14:paraId="192E34E4">
      <w:pPr>
        <w:pStyle w:val="6"/>
        <w:spacing w:line="560" w:lineRule="exact"/>
        <w:ind w:firstLine="640"/>
        <w:jc w:val="left"/>
        <w:outlineLvl w:val="0"/>
        <w:rPr>
          <w:rFonts w:ascii="Times New Roman" w:eastAsia="黑体"/>
          <w:sz w:val="32"/>
          <w:szCs w:val="32"/>
        </w:rPr>
      </w:pPr>
      <w:r>
        <w:rPr>
          <w:rFonts w:ascii="Times New Roman" w:eastAsia="黑体"/>
          <w:sz w:val="32"/>
          <w:szCs w:val="32"/>
        </w:rPr>
        <w:t>二、确定标准主要内容的依据</w:t>
      </w:r>
    </w:p>
    <w:p w14:paraId="70D77AD7">
      <w:pPr>
        <w:pStyle w:val="6"/>
        <w:spacing w:line="560" w:lineRule="exact"/>
        <w:ind w:firstLine="640"/>
        <w:jc w:val="left"/>
        <w:outlineLvl w:val="1"/>
        <w:rPr>
          <w:rFonts w:ascii="Times New Roman" w:eastAsia="楷体"/>
          <w:sz w:val="32"/>
          <w:szCs w:val="32"/>
        </w:rPr>
      </w:pPr>
      <w:r>
        <w:rPr>
          <w:rFonts w:ascii="Times New Roman" w:eastAsia="楷体"/>
          <w:sz w:val="32"/>
          <w:szCs w:val="32"/>
        </w:rPr>
        <w:t>（一）编制原则</w:t>
      </w:r>
    </w:p>
    <w:p w14:paraId="1C8EC400">
      <w:pPr>
        <w:spacing w:line="560" w:lineRule="exact"/>
        <w:ind w:firstLine="640" w:firstLineChars="200"/>
        <w:rPr>
          <w:rFonts w:eastAsia="仿宋_GB2312"/>
          <w:sz w:val="32"/>
          <w:szCs w:val="32"/>
        </w:rPr>
      </w:pPr>
      <w:r>
        <w:rPr>
          <w:rFonts w:eastAsia="仿宋_GB2312"/>
          <w:sz w:val="32"/>
          <w:szCs w:val="32"/>
        </w:rPr>
        <w:t>1.符合</w:t>
      </w:r>
      <w:r>
        <w:rPr>
          <w:rFonts w:hint="eastAsia" w:eastAsia="仿宋_GB2312"/>
          <w:sz w:val="32"/>
          <w:szCs w:val="32"/>
        </w:rPr>
        <w:t>《关于“十四五”大宗固体废弃物综合利用的指导意见》（发改委环资[2021]381号）《“十四五”循环经济发展规划》</w:t>
      </w:r>
      <w:r>
        <w:rPr>
          <w:rFonts w:eastAsia="仿宋_GB2312"/>
          <w:sz w:val="32"/>
          <w:szCs w:val="32"/>
        </w:rPr>
        <w:t>等政策法规规定。</w:t>
      </w:r>
    </w:p>
    <w:p w14:paraId="385E27C7">
      <w:pPr>
        <w:spacing w:line="560" w:lineRule="exact"/>
        <w:ind w:firstLine="640" w:firstLineChars="200"/>
        <w:rPr>
          <w:rFonts w:eastAsia="仿宋_GB2312"/>
          <w:sz w:val="32"/>
          <w:szCs w:val="32"/>
        </w:rPr>
      </w:pPr>
      <w:r>
        <w:rPr>
          <w:rFonts w:eastAsia="仿宋_GB2312"/>
          <w:sz w:val="32"/>
          <w:szCs w:val="32"/>
        </w:rPr>
        <w:t>2.编写格式严格依据GB/T　1.1—2020《标准化工作导则 第1部分：标准化文件的结构和起草规则》的要求。</w:t>
      </w:r>
    </w:p>
    <w:p w14:paraId="33D901B3">
      <w:pPr>
        <w:spacing w:line="560" w:lineRule="exact"/>
        <w:ind w:firstLine="640" w:firstLineChars="200"/>
        <w:rPr>
          <w:rFonts w:eastAsia="仿宋_GB2312"/>
          <w:sz w:val="32"/>
          <w:szCs w:val="32"/>
        </w:rPr>
      </w:pPr>
      <w:r>
        <w:rPr>
          <w:rFonts w:eastAsia="仿宋_GB2312"/>
          <w:sz w:val="32"/>
          <w:szCs w:val="32"/>
        </w:rPr>
        <w:t>3.遵循科学性、先进性、适用性的基本原则。</w:t>
      </w:r>
    </w:p>
    <w:p w14:paraId="5829122D">
      <w:pPr>
        <w:pStyle w:val="6"/>
        <w:spacing w:line="560" w:lineRule="exact"/>
        <w:ind w:firstLine="640"/>
        <w:jc w:val="left"/>
        <w:outlineLvl w:val="1"/>
        <w:rPr>
          <w:rFonts w:ascii="Times New Roman" w:eastAsia="楷体"/>
          <w:sz w:val="32"/>
          <w:szCs w:val="32"/>
        </w:rPr>
      </w:pPr>
      <w:r>
        <w:rPr>
          <w:rFonts w:ascii="Times New Roman" w:eastAsia="楷体"/>
          <w:sz w:val="32"/>
          <w:szCs w:val="32"/>
        </w:rPr>
        <w:t>（二）编制依据</w:t>
      </w:r>
    </w:p>
    <w:p w14:paraId="2FF8CACF">
      <w:pPr>
        <w:spacing w:line="560" w:lineRule="exact"/>
        <w:ind w:firstLine="640" w:firstLineChars="200"/>
        <w:rPr>
          <w:rFonts w:eastAsia="仿宋_GB2312"/>
          <w:sz w:val="32"/>
          <w:szCs w:val="32"/>
        </w:rPr>
      </w:pPr>
      <w:r>
        <w:rPr>
          <w:rFonts w:eastAsia="仿宋_GB2312"/>
          <w:sz w:val="32"/>
          <w:szCs w:val="32"/>
        </w:rPr>
        <w:t>标准编制过程中参考的主要文件及相关标准：</w:t>
      </w:r>
    </w:p>
    <w:p w14:paraId="0EA24BBA">
      <w:pPr>
        <w:spacing w:line="560" w:lineRule="exact"/>
        <w:ind w:firstLine="640" w:firstLineChars="200"/>
        <w:rPr>
          <w:rFonts w:hint="eastAsia" w:eastAsia="仿宋_GB2312"/>
          <w:sz w:val="32"/>
          <w:szCs w:val="32"/>
        </w:rPr>
      </w:pPr>
      <w:r>
        <w:rPr>
          <w:rFonts w:hint="eastAsia" w:eastAsia="仿宋_GB2312"/>
          <w:sz w:val="32"/>
          <w:szCs w:val="32"/>
        </w:rPr>
        <w:t>GB 3838  地表水环境质量标准</w:t>
      </w:r>
    </w:p>
    <w:p w14:paraId="5043131E">
      <w:pPr>
        <w:spacing w:line="560" w:lineRule="exact"/>
        <w:ind w:firstLine="640" w:firstLineChars="200"/>
        <w:rPr>
          <w:rFonts w:hint="eastAsia" w:eastAsia="仿宋_GB2312"/>
          <w:sz w:val="32"/>
          <w:szCs w:val="32"/>
        </w:rPr>
      </w:pPr>
      <w:r>
        <w:rPr>
          <w:rFonts w:hint="eastAsia" w:eastAsia="仿宋_GB2312"/>
          <w:sz w:val="32"/>
          <w:szCs w:val="32"/>
        </w:rPr>
        <w:t>GB6566  建筑材料放射性核素限量</w:t>
      </w:r>
    </w:p>
    <w:p w14:paraId="45EC5A4F">
      <w:pPr>
        <w:spacing w:line="560" w:lineRule="exact"/>
        <w:ind w:firstLine="640" w:firstLineChars="200"/>
        <w:rPr>
          <w:rFonts w:hint="eastAsia" w:eastAsia="仿宋_GB2312"/>
          <w:sz w:val="32"/>
          <w:szCs w:val="32"/>
        </w:rPr>
      </w:pPr>
      <w:r>
        <w:rPr>
          <w:rFonts w:hint="eastAsia" w:eastAsia="仿宋_GB2312"/>
          <w:sz w:val="32"/>
          <w:szCs w:val="32"/>
        </w:rPr>
        <w:t>GB8978污水综合排放标准</w:t>
      </w:r>
    </w:p>
    <w:p w14:paraId="7802C560">
      <w:pPr>
        <w:spacing w:line="560" w:lineRule="exact"/>
        <w:ind w:firstLine="640" w:firstLineChars="200"/>
        <w:rPr>
          <w:rFonts w:hint="eastAsia" w:eastAsia="仿宋_GB2312"/>
          <w:sz w:val="32"/>
          <w:szCs w:val="32"/>
        </w:rPr>
      </w:pPr>
      <w:r>
        <w:rPr>
          <w:rFonts w:hint="eastAsia" w:eastAsia="仿宋_GB2312"/>
          <w:sz w:val="32"/>
          <w:szCs w:val="32"/>
        </w:rPr>
        <w:t>GB12348工业企业厂界环境噪声排放标准</w:t>
      </w:r>
    </w:p>
    <w:p w14:paraId="40B34E27">
      <w:pPr>
        <w:spacing w:line="560" w:lineRule="exact"/>
        <w:ind w:firstLine="640" w:firstLineChars="200"/>
        <w:rPr>
          <w:rFonts w:hint="eastAsia" w:eastAsia="仿宋_GB2312"/>
          <w:sz w:val="32"/>
          <w:szCs w:val="32"/>
        </w:rPr>
      </w:pPr>
      <w:r>
        <w:rPr>
          <w:rFonts w:hint="eastAsia" w:eastAsia="仿宋_GB2312"/>
          <w:sz w:val="32"/>
          <w:szCs w:val="32"/>
        </w:rPr>
        <w:t>GB16297大气污染物综合排放标准</w:t>
      </w:r>
    </w:p>
    <w:p w14:paraId="477526B8">
      <w:pPr>
        <w:spacing w:line="560" w:lineRule="exact"/>
        <w:ind w:firstLine="640" w:firstLineChars="200"/>
        <w:rPr>
          <w:rFonts w:hint="eastAsia" w:eastAsia="仿宋_GB2312"/>
          <w:sz w:val="32"/>
          <w:szCs w:val="32"/>
        </w:rPr>
      </w:pPr>
      <w:r>
        <w:rPr>
          <w:rFonts w:hint="eastAsia" w:eastAsia="仿宋_GB2312"/>
          <w:sz w:val="32"/>
          <w:szCs w:val="32"/>
        </w:rPr>
        <w:t>GB18599一般工业固体废物贮存和填埋污染控制标准</w:t>
      </w:r>
    </w:p>
    <w:p w14:paraId="472CF106">
      <w:pPr>
        <w:spacing w:line="560" w:lineRule="exact"/>
        <w:ind w:firstLine="640" w:firstLineChars="200"/>
        <w:rPr>
          <w:rFonts w:hint="eastAsia" w:eastAsia="仿宋_GB2312"/>
          <w:sz w:val="32"/>
          <w:szCs w:val="32"/>
        </w:rPr>
      </w:pPr>
      <w:r>
        <w:rPr>
          <w:rFonts w:hint="eastAsia" w:eastAsia="仿宋_GB2312"/>
          <w:sz w:val="32"/>
          <w:szCs w:val="32"/>
        </w:rPr>
        <w:t>GB15618土壤环境质量标准</w:t>
      </w:r>
    </w:p>
    <w:p w14:paraId="149BAC85">
      <w:pPr>
        <w:spacing w:line="560" w:lineRule="exact"/>
        <w:ind w:firstLine="640" w:firstLineChars="200"/>
        <w:rPr>
          <w:rFonts w:hint="eastAsia" w:eastAsia="仿宋_GB2312"/>
          <w:sz w:val="32"/>
          <w:szCs w:val="32"/>
        </w:rPr>
      </w:pPr>
      <w:r>
        <w:rPr>
          <w:rFonts w:hint="eastAsia" w:eastAsia="仿宋_GB2312"/>
          <w:sz w:val="32"/>
          <w:szCs w:val="32"/>
        </w:rPr>
        <w:t>GB/T5484石膏化学分析方法</w:t>
      </w:r>
    </w:p>
    <w:p w14:paraId="2E992BA2">
      <w:pPr>
        <w:spacing w:line="560" w:lineRule="exact"/>
        <w:ind w:firstLine="640" w:firstLineChars="200"/>
        <w:rPr>
          <w:rFonts w:hint="eastAsia" w:eastAsia="仿宋_GB2312"/>
          <w:sz w:val="32"/>
          <w:szCs w:val="32"/>
        </w:rPr>
      </w:pPr>
      <w:r>
        <w:rPr>
          <w:rFonts w:hint="eastAsia" w:eastAsia="仿宋_GB2312"/>
          <w:sz w:val="32"/>
          <w:szCs w:val="32"/>
        </w:rPr>
        <w:t>GB/T14848  地下水质量标准</w:t>
      </w:r>
    </w:p>
    <w:p w14:paraId="432498FB">
      <w:pPr>
        <w:spacing w:line="560" w:lineRule="exact"/>
        <w:ind w:firstLine="640" w:firstLineChars="200"/>
        <w:rPr>
          <w:rFonts w:hint="eastAsia" w:eastAsia="仿宋_GB2312"/>
          <w:sz w:val="32"/>
          <w:szCs w:val="32"/>
        </w:rPr>
      </w:pPr>
      <w:r>
        <w:rPr>
          <w:rFonts w:hint="eastAsia" w:eastAsia="仿宋_GB2312"/>
          <w:sz w:val="32"/>
          <w:szCs w:val="32"/>
        </w:rPr>
        <w:t>GB/T 23456磷石膏</w:t>
      </w:r>
    </w:p>
    <w:p w14:paraId="07446D6F">
      <w:pPr>
        <w:spacing w:line="560" w:lineRule="exact"/>
        <w:ind w:firstLine="640" w:firstLineChars="200"/>
        <w:rPr>
          <w:rFonts w:hint="eastAsia" w:eastAsia="仿宋_GB2312"/>
          <w:sz w:val="32"/>
          <w:szCs w:val="32"/>
        </w:rPr>
      </w:pPr>
      <w:r>
        <w:rPr>
          <w:rFonts w:hint="eastAsia" w:eastAsia="仿宋_GB2312"/>
          <w:sz w:val="32"/>
          <w:szCs w:val="32"/>
        </w:rPr>
        <w:t>GB/T 32124 磷石膏的处理处置规范</w:t>
      </w:r>
    </w:p>
    <w:p w14:paraId="3FBDCB7B">
      <w:pPr>
        <w:spacing w:line="560" w:lineRule="exact"/>
        <w:ind w:firstLine="640" w:firstLineChars="200"/>
        <w:rPr>
          <w:rFonts w:hint="eastAsia" w:eastAsia="仿宋_GB2312"/>
          <w:sz w:val="32"/>
          <w:szCs w:val="32"/>
        </w:rPr>
      </w:pPr>
      <w:r>
        <w:rPr>
          <w:rFonts w:hint="eastAsia" w:eastAsia="仿宋_GB2312"/>
          <w:sz w:val="32"/>
          <w:szCs w:val="32"/>
        </w:rPr>
        <w:t>NY/T 1060-2006  水泥生产用磷石膏</w:t>
      </w:r>
    </w:p>
    <w:p w14:paraId="718828F6">
      <w:pPr>
        <w:spacing w:line="560" w:lineRule="exact"/>
        <w:ind w:firstLine="640" w:firstLineChars="200"/>
        <w:rPr>
          <w:rFonts w:hint="eastAsia" w:eastAsia="仿宋_GB2312"/>
          <w:sz w:val="32"/>
          <w:szCs w:val="32"/>
        </w:rPr>
      </w:pPr>
      <w:r>
        <w:rPr>
          <w:rFonts w:hint="eastAsia" w:eastAsia="仿宋_GB2312"/>
          <w:sz w:val="32"/>
          <w:szCs w:val="32"/>
        </w:rPr>
        <w:t>AQ 2059磷石膏库安全技术规程</w:t>
      </w:r>
    </w:p>
    <w:p w14:paraId="7E9FA4E7">
      <w:pPr>
        <w:spacing w:line="560" w:lineRule="exact"/>
        <w:ind w:firstLine="640" w:firstLineChars="200"/>
        <w:rPr>
          <w:rFonts w:hint="eastAsia" w:eastAsia="仿宋_GB2312"/>
          <w:sz w:val="32"/>
          <w:szCs w:val="32"/>
        </w:rPr>
      </w:pPr>
      <w:r>
        <w:rPr>
          <w:rFonts w:hint="eastAsia" w:eastAsia="仿宋_GB2312"/>
          <w:sz w:val="32"/>
          <w:szCs w:val="32"/>
        </w:rPr>
        <w:t>HG/T 4219磷石膏土壤调理剂</w:t>
      </w:r>
    </w:p>
    <w:p w14:paraId="293B4AAE">
      <w:pPr>
        <w:spacing w:line="560" w:lineRule="exact"/>
        <w:ind w:firstLine="640" w:firstLineChars="200"/>
        <w:rPr>
          <w:rFonts w:hint="eastAsia" w:eastAsia="仿宋_GB2312"/>
          <w:sz w:val="32"/>
          <w:szCs w:val="32"/>
        </w:rPr>
      </w:pPr>
      <w:r>
        <w:rPr>
          <w:rFonts w:hint="eastAsia" w:eastAsia="仿宋_GB2312"/>
          <w:sz w:val="32"/>
          <w:szCs w:val="32"/>
        </w:rPr>
        <w:t>HJ555  化肥使用环境安全技术导则</w:t>
      </w:r>
    </w:p>
    <w:p w14:paraId="264CC564">
      <w:pPr>
        <w:spacing w:line="560" w:lineRule="exact"/>
        <w:ind w:firstLine="640" w:firstLineChars="200"/>
        <w:rPr>
          <w:rFonts w:hint="eastAsia" w:eastAsia="仿宋_GB2312"/>
          <w:sz w:val="32"/>
          <w:szCs w:val="32"/>
        </w:rPr>
      </w:pPr>
      <w:r>
        <w:rPr>
          <w:rFonts w:hint="eastAsia" w:eastAsia="仿宋_GB2312"/>
          <w:sz w:val="32"/>
          <w:szCs w:val="32"/>
        </w:rPr>
        <w:t>HJ 557  固体废物浸出毒性浸出方法水平振荡法</w:t>
      </w:r>
    </w:p>
    <w:p w14:paraId="3A359278">
      <w:pPr>
        <w:pStyle w:val="6"/>
        <w:spacing w:line="560" w:lineRule="exact"/>
        <w:ind w:firstLine="640"/>
        <w:jc w:val="left"/>
        <w:outlineLvl w:val="0"/>
        <w:rPr>
          <w:rFonts w:ascii="Times New Roman" w:eastAsia="黑体"/>
          <w:sz w:val="32"/>
          <w:szCs w:val="32"/>
        </w:rPr>
      </w:pPr>
      <w:r>
        <w:rPr>
          <w:rFonts w:ascii="Times New Roman" w:eastAsia="黑体"/>
          <w:sz w:val="32"/>
          <w:szCs w:val="32"/>
        </w:rPr>
        <w:t>三、主要内容的说明</w:t>
      </w:r>
    </w:p>
    <w:p w14:paraId="0D1DC0B3">
      <w:pPr>
        <w:spacing w:line="560" w:lineRule="exact"/>
        <w:ind w:firstLine="640" w:firstLineChars="200"/>
        <w:rPr>
          <w:rFonts w:eastAsia="仿宋_GB2312"/>
          <w:sz w:val="32"/>
          <w:szCs w:val="32"/>
        </w:rPr>
      </w:pPr>
      <w:r>
        <w:rPr>
          <w:rFonts w:eastAsia="仿宋_GB2312"/>
          <w:sz w:val="32"/>
          <w:szCs w:val="32"/>
        </w:rPr>
        <w:t>1.标准的适用范围</w:t>
      </w:r>
    </w:p>
    <w:p w14:paraId="6B077CEB">
      <w:pPr>
        <w:spacing w:line="560" w:lineRule="exact"/>
        <w:ind w:firstLine="640" w:firstLineChars="200"/>
        <w:rPr>
          <w:rFonts w:hint="eastAsia" w:eastAsia="仿宋_GB2312"/>
          <w:sz w:val="32"/>
          <w:szCs w:val="32"/>
        </w:rPr>
      </w:pPr>
      <w:r>
        <w:rPr>
          <w:rFonts w:hint="eastAsia" w:eastAsia="仿宋_GB2312"/>
          <w:sz w:val="32"/>
          <w:szCs w:val="32"/>
        </w:rPr>
        <w:t>本标准规定了磷石膏应用技术规范的规范性引用文件、术语和定义、总体要求、应用技术工艺、产品要求、标志、运输、贮存。</w:t>
      </w:r>
    </w:p>
    <w:p w14:paraId="232E55D6">
      <w:pPr>
        <w:spacing w:line="560" w:lineRule="exact"/>
        <w:ind w:firstLine="640" w:firstLineChars="200"/>
        <w:rPr>
          <w:rFonts w:eastAsia="仿宋_GB2312"/>
          <w:sz w:val="32"/>
          <w:szCs w:val="32"/>
        </w:rPr>
      </w:pPr>
      <w:r>
        <w:rPr>
          <w:rFonts w:eastAsia="仿宋_GB2312"/>
          <w:sz w:val="32"/>
          <w:szCs w:val="32"/>
        </w:rPr>
        <w:t>2.标准主要技术内容</w:t>
      </w:r>
    </w:p>
    <w:p w14:paraId="29C0B038">
      <w:pPr>
        <w:spacing w:line="560" w:lineRule="exact"/>
        <w:ind w:firstLine="640" w:firstLineChars="200"/>
        <w:rPr>
          <w:rFonts w:eastAsia="仿宋_GB2312"/>
          <w:sz w:val="32"/>
          <w:szCs w:val="32"/>
        </w:rPr>
      </w:pPr>
      <w:r>
        <w:rPr>
          <w:rFonts w:eastAsia="仿宋_GB2312"/>
          <w:sz w:val="32"/>
          <w:szCs w:val="32"/>
        </w:rPr>
        <w:t>（1）规范性引用文件</w:t>
      </w:r>
    </w:p>
    <w:p w14:paraId="2FB8590B">
      <w:pPr>
        <w:spacing w:line="560" w:lineRule="exact"/>
        <w:ind w:firstLine="640" w:firstLineChars="200"/>
        <w:rPr>
          <w:rFonts w:eastAsia="仿宋_GB2312"/>
          <w:sz w:val="32"/>
          <w:szCs w:val="32"/>
        </w:rPr>
      </w:pPr>
      <w:r>
        <w:rPr>
          <w:rFonts w:eastAsia="仿宋_GB2312"/>
          <w:sz w:val="32"/>
          <w:szCs w:val="32"/>
        </w:rPr>
        <w:t>（2）术语和定义</w:t>
      </w:r>
    </w:p>
    <w:p w14:paraId="6EA6BC2E">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总体要求</w:t>
      </w:r>
    </w:p>
    <w:p w14:paraId="412ED0FD">
      <w:pPr>
        <w:spacing w:line="560" w:lineRule="exact"/>
        <w:ind w:firstLine="640" w:firstLineChars="200"/>
        <w:rPr>
          <w:rFonts w:hint="eastAsia" w:eastAsia="仿宋_GB2312"/>
          <w:sz w:val="32"/>
          <w:szCs w:val="32"/>
        </w:rPr>
      </w:pPr>
      <w:r>
        <w:rPr>
          <w:rFonts w:hint="eastAsia" w:eastAsia="仿宋_GB2312"/>
          <w:sz w:val="32"/>
          <w:szCs w:val="32"/>
        </w:rPr>
        <w:t>该章节规定了厂区环境、设施设备、原料要求、人员要求等内容。</w:t>
      </w:r>
    </w:p>
    <w:p w14:paraId="7750B526">
      <w:pPr>
        <w:spacing w:line="560" w:lineRule="exact"/>
        <w:ind w:firstLine="640" w:firstLineChars="200"/>
        <w:rPr>
          <w:rFonts w:hint="eastAsia" w:eastAsia="仿宋_GB2312"/>
          <w:sz w:val="32"/>
          <w:szCs w:val="32"/>
          <w:lang w:val="en-US" w:eastAsia="zh-CN"/>
        </w:rPr>
      </w:pPr>
      <w:r>
        <w:rPr>
          <w:rFonts w:eastAsia="仿宋_GB2312"/>
          <w:sz w:val="32"/>
          <w:szCs w:val="32"/>
        </w:rPr>
        <w:t>（4）</w:t>
      </w:r>
      <w:r>
        <w:rPr>
          <w:rFonts w:hint="eastAsia" w:eastAsia="仿宋_GB2312"/>
          <w:sz w:val="32"/>
          <w:szCs w:val="32"/>
          <w:lang w:val="en-US" w:eastAsia="zh-CN"/>
        </w:rPr>
        <w:t>应用技术工艺</w:t>
      </w:r>
    </w:p>
    <w:p w14:paraId="685ACD42">
      <w:pPr>
        <w:spacing w:line="560" w:lineRule="exact"/>
        <w:ind w:firstLine="640" w:firstLineChars="200"/>
        <w:rPr>
          <w:rFonts w:eastAsia="仿宋_GB2312"/>
          <w:sz w:val="32"/>
          <w:szCs w:val="32"/>
        </w:rPr>
      </w:pPr>
      <w:r>
        <w:rPr>
          <w:rFonts w:hint="eastAsia" w:eastAsia="仿宋_GB2312"/>
          <w:sz w:val="32"/>
          <w:szCs w:val="32"/>
        </w:rPr>
        <w:t>该章节规定了轻质抹灰石膏、自流平砂浆、水硬性磷石膏道路水稳材料、石膏砌块、石膏条板、粘结石膏等技术工艺要求。</w:t>
      </w:r>
    </w:p>
    <w:p w14:paraId="6D62D8F0">
      <w:pPr>
        <w:spacing w:line="560" w:lineRule="exact"/>
        <w:ind w:firstLine="640" w:firstLineChars="200"/>
        <w:rPr>
          <w:rFonts w:hint="eastAsia" w:eastAsia="仿宋_GB2312"/>
          <w:sz w:val="32"/>
          <w:szCs w:val="32"/>
          <w:lang w:val="en-US" w:eastAsia="zh-CN"/>
        </w:rPr>
      </w:pPr>
      <w:r>
        <w:rPr>
          <w:rFonts w:eastAsia="仿宋_GB2312"/>
          <w:sz w:val="32"/>
          <w:szCs w:val="32"/>
        </w:rPr>
        <w:t>（5）</w:t>
      </w:r>
      <w:r>
        <w:rPr>
          <w:rFonts w:hint="eastAsia" w:eastAsia="仿宋_GB2312"/>
          <w:sz w:val="32"/>
          <w:szCs w:val="32"/>
          <w:lang w:val="en-US" w:eastAsia="zh-CN"/>
        </w:rPr>
        <w:t>产品要求</w:t>
      </w:r>
    </w:p>
    <w:p w14:paraId="53EDC25A">
      <w:pPr>
        <w:spacing w:line="560" w:lineRule="exact"/>
        <w:ind w:firstLine="640" w:firstLineChars="200"/>
        <w:rPr>
          <w:rFonts w:hint="eastAsia" w:eastAsia="仿宋_GB2312"/>
          <w:sz w:val="32"/>
          <w:szCs w:val="32"/>
        </w:rPr>
      </w:pPr>
      <w:r>
        <w:rPr>
          <w:rFonts w:hint="eastAsia" w:eastAsia="仿宋_GB2312"/>
          <w:sz w:val="32"/>
          <w:szCs w:val="32"/>
        </w:rPr>
        <w:t>该章节规定了各项产品的质量要求、技术指标等内容。</w:t>
      </w:r>
    </w:p>
    <w:p w14:paraId="3D859A68">
      <w:pPr>
        <w:spacing w:line="560" w:lineRule="exact"/>
        <w:ind w:firstLine="640" w:firstLineChars="200"/>
        <w:rPr>
          <w:rFonts w:eastAsia="仿宋_GB2312"/>
          <w:sz w:val="32"/>
          <w:szCs w:val="32"/>
        </w:rPr>
      </w:pPr>
      <w:r>
        <w:rPr>
          <w:rFonts w:hint="eastAsia" w:eastAsia="仿宋_GB2312"/>
          <w:sz w:val="32"/>
          <w:szCs w:val="32"/>
        </w:rPr>
        <w:t>（6）标志、运输、贮存</w:t>
      </w:r>
    </w:p>
    <w:p w14:paraId="0B11FF64">
      <w:pPr>
        <w:pStyle w:val="6"/>
        <w:spacing w:line="560" w:lineRule="exact"/>
        <w:ind w:firstLine="640"/>
        <w:jc w:val="left"/>
        <w:outlineLvl w:val="0"/>
        <w:rPr>
          <w:rFonts w:hint="eastAsia" w:eastAsia="仿宋_GB2312"/>
          <w:sz w:val="32"/>
          <w:szCs w:val="32"/>
        </w:rPr>
      </w:pPr>
      <w:r>
        <w:rPr>
          <w:rFonts w:hint="eastAsia" w:eastAsia="仿宋_GB2312"/>
          <w:sz w:val="32"/>
          <w:szCs w:val="32"/>
        </w:rPr>
        <w:t>该章节规定了磷石膏应用技术产品标志、运输、贮存的相关要求。</w:t>
      </w:r>
    </w:p>
    <w:p w14:paraId="212D85C7">
      <w:pPr>
        <w:pStyle w:val="6"/>
        <w:spacing w:line="560" w:lineRule="exact"/>
        <w:ind w:firstLine="640"/>
        <w:jc w:val="left"/>
        <w:outlineLvl w:val="0"/>
        <w:rPr>
          <w:rFonts w:ascii="Times New Roman" w:eastAsia="黑体"/>
          <w:sz w:val="32"/>
          <w:szCs w:val="32"/>
        </w:rPr>
      </w:pPr>
      <w:r>
        <w:rPr>
          <w:rFonts w:ascii="Times New Roman" w:eastAsia="黑体"/>
          <w:sz w:val="32"/>
          <w:szCs w:val="32"/>
        </w:rPr>
        <w:t>四、采用国际标准和国外先进标准的程度情况，以及与国际、国外同类标准水平的对比情况</w:t>
      </w:r>
    </w:p>
    <w:p w14:paraId="0D5A161B">
      <w:pPr>
        <w:spacing w:line="560" w:lineRule="exact"/>
        <w:ind w:firstLine="640" w:firstLineChars="200"/>
        <w:rPr>
          <w:rFonts w:eastAsia="仿宋_GB2312"/>
          <w:sz w:val="32"/>
          <w:szCs w:val="32"/>
        </w:rPr>
      </w:pPr>
      <w:r>
        <w:rPr>
          <w:rFonts w:hint="eastAsia" w:eastAsia="仿宋_GB2312"/>
          <w:sz w:val="32"/>
          <w:szCs w:val="32"/>
        </w:rPr>
        <w:t>在磷石膏应用技术方面，国外几乎没有研究案例和成果；国内的研究数量较多，主要应用方向有农业领域、建筑材料、环境治理等，国内相关的标准有DB53/T 1269-2024《改性磷石膏用于矿山废弃地生态修复回填技术规范》、DB42/T 2178-2024《磷建筑石膏泡沫混凝土隔墙及填筑料应用技术规程》、DB5301/T 98-2023《改性磷石膏综合利用矿山生态修复环境风险评估规范》DB5117/T 77—2023《公路水泥稳定磷石膏基层应用技术规范》等，但此标准的主要技术内容为建筑材料应用，将完善我国磷石膏应用技术规范，有利于大规模推广磷石膏的综合利用，对生态环境的改善具有十分重要的意义</w:t>
      </w:r>
      <w:r>
        <w:rPr>
          <w:rFonts w:eastAsia="仿宋_GB2312"/>
          <w:sz w:val="32"/>
          <w:szCs w:val="32"/>
        </w:rPr>
        <w:t>。</w:t>
      </w:r>
    </w:p>
    <w:p w14:paraId="73C66CB6">
      <w:pPr>
        <w:pStyle w:val="6"/>
        <w:spacing w:line="560" w:lineRule="exact"/>
        <w:ind w:firstLine="640"/>
        <w:jc w:val="left"/>
        <w:outlineLvl w:val="0"/>
        <w:rPr>
          <w:rFonts w:ascii="Times New Roman" w:eastAsia="黑体"/>
          <w:sz w:val="32"/>
          <w:szCs w:val="32"/>
        </w:rPr>
      </w:pPr>
      <w:r>
        <w:rPr>
          <w:rFonts w:ascii="Times New Roman" w:eastAsia="黑体"/>
          <w:sz w:val="32"/>
          <w:szCs w:val="32"/>
        </w:rPr>
        <w:t>五、与现行</w:t>
      </w:r>
      <w:r>
        <w:rPr>
          <w:rFonts w:hint="eastAsia" w:ascii="Times New Roman" w:eastAsia="黑体"/>
          <w:sz w:val="32"/>
          <w:szCs w:val="32"/>
          <w:lang w:eastAsia="zh-CN"/>
        </w:rPr>
        <w:t>法律法规</w:t>
      </w:r>
      <w:r>
        <w:rPr>
          <w:rFonts w:ascii="Times New Roman" w:eastAsia="黑体"/>
          <w:sz w:val="32"/>
          <w:szCs w:val="32"/>
        </w:rPr>
        <w:t>和上级标准的关系</w:t>
      </w:r>
    </w:p>
    <w:p w14:paraId="29E43536">
      <w:pPr>
        <w:spacing w:line="560" w:lineRule="exact"/>
        <w:ind w:firstLine="640" w:firstLineChars="200"/>
        <w:rPr>
          <w:rFonts w:eastAsia="仿宋_GB2312"/>
          <w:sz w:val="32"/>
          <w:szCs w:val="32"/>
        </w:rPr>
      </w:pPr>
      <w:r>
        <w:rPr>
          <w:rFonts w:hint="eastAsia" w:eastAsia="仿宋_GB2312"/>
          <w:sz w:val="32"/>
          <w:szCs w:val="32"/>
        </w:rPr>
        <w:t>工信部发布《工业绿色发展规划（2016-2020年）》，对工业固废相关源头管理和治理效率提出了新的目标和规划，十部委联合印发的《关于“十四五”大宗固体废弃物综合利用的指导意见》（发改委环资[2021]381号）中明确提出要深入贯彻落实《中华人民共和国固体废物污染环境防治法》等法律法规，大力推进大宗固废源头减量、资源化利用和无害化处置，强化全链条治理。其中对磷石膏要求拓宽磷石膏利用途径，探索磷石膏在土壤改良、井下充填、路基材料等领域的应用。因此《磷石膏应用技术规范》的编制符合国家政策导向和发展要求。</w:t>
      </w:r>
    </w:p>
    <w:p w14:paraId="603D4228">
      <w:pPr>
        <w:pStyle w:val="6"/>
        <w:spacing w:line="560" w:lineRule="exact"/>
        <w:ind w:firstLine="640"/>
        <w:jc w:val="left"/>
        <w:outlineLvl w:val="0"/>
        <w:rPr>
          <w:rFonts w:ascii="Times New Roman" w:eastAsia="黑体"/>
          <w:sz w:val="32"/>
          <w:szCs w:val="32"/>
        </w:rPr>
      </w:pPr>
      <w:r>
        <w:rPr>
          <w:rFonts w:ascii="Times New Roman" w:eastAsia="黑体"/>
          <w:sz w:val="32"/>
          <w:szCs w:val="32"/>
        </w:rPr>
        <w:t>六、重大分歧意见的处理经过和依据</w:t>
      </w:r>
    </w:p>
    <w:p w14:paraId="5E2E015D">
      <w:pPr>
        <w:spacing w:line="560" w:lineRule="exact"/>
        <w:ind w:firstLine="640" w:firstLineChars="200"/>
        <w:rPr>
          <w:rFonts w:eastAsia="仿宋_GB2312"/>
          <w:sz w:val="32"/>
          <w:szCs w:val="32"/>
        </w:rPr>
      </w:pPr>
      <w:r>
        <w:rPr>
          <w:rFonts w:eastAsia="仿宋_GB2312"/>
          <w:sz w:val="32"/>
          <w:szCs w:val="32"/>
        </w:rPr>
        <w:t>本标准的编写过程无重大分歧意见产生。</w:t>
      </w:r>
    </w:p>
    <w:p w14:paraId="094D5DD9">
      <w:pPr>
        <w:pStyle w:val="6"/>
        <w:spacing w:line="560" w:lineRule="exact"/>
        <w:ind w:firstLine="640"/>
        <w:jc w:val="left"/>
        <w:outlineLvl w:val="0"/>
        <w:rPr>
          <w:rFonts w:ascii="Times New Roman" w:eastAsia="黑体"/>
          <w:sz w:val="32"/>
          <w:szCs w:val="32"/>
        </w:rPr>
      </w:pPr>
      <w:r>
        <w:rPr>
          <w:rFonts w:ascii="Times New Roman" w:eastAsia="黑体"/>
          <w:sz w:val="32"/>
          <w:szCs w:val="32"/>
        </w:rPr>
        <w:t>七、废止现行有关标准的建议</w:t>
      </w:r>
    </w:p>
    <w:p w14:paraId="02DDDE3D">
      <w:pPr>
        <w:spacing w:line="560" w:lineRule="exact"/>
        <w:ind w:firstLine="640" w:firstLineChars="200"/>
        <w:rPr>
          <w:rFonts w:eastAsia="仿宋_GB2312"/>
          <w:sz w:val="32"/>
          <w:szCs w:val="32"/>
        </w:rPr>
      </w:pPr>
      <w:r>
        <w:rPr>
          <w:rFonts w:eastAsia="仿宋_GB2312"/>
          <w:sz w:val="32"/>
          <w:szCs w:val="32"/>
        </w:rPr>
        <w:t>本标准为新制定。</w:t>
      </w:r>
    </w:p>
    <w:p w14:paraId="580F97F3">
      <w:pPr>
        <w:pStyle w:val="6"/>
        <w:spacing w:line="560" w:lineRule="exact"/>
        <w:ind w:firstLine="640"/>
        <w:jc w:val="left"/>
        <w:outlineLvl w:val="0"/>
        <w:rPr>
          <w:rFonts w:ascii="Times New Roman" w:eastAsia="黑体"/>
          <w:sz w:val="32"/>
          <w:szCs w:val="32"/>
        </w:rPr>
      </w:pPr>
      <w:r>
        <w:rPr>
          <w:rFonts w:ascii="Times New Roman" w:eastAsia="黑体"/>
          <w:sz w:val="32"/>
          <w:szCs w:val="32"/>
        </w:rPr>
        <w:t>八、其他应予说明的事项</w:t>
      </w:r>
    </w:p>
    <w:p w14:paraId="0AA4B186">
      <w:pPr>
        <w:spacing w:line="560" w:lineRule="exact"/>
        <w:ind w:firstLine="640" w:firstLineChars="200"/>
        <w:rPr>
          <w:rFonts w:eastAsia="仿宋_GB2312"/>
          <w:sz w:val="32"/>
          <w:szCs w:val="32"/>
        </w:rPr>
      </w:pPr>
      <w:r>
        <w:rPr>
          <w:rFonts w:eastAsia="仿宋_GB2312"/>
          <w:sz w:val="32"/>
          <w:szCs w:val="32"/>
        </w:rPr>
        <w:t>无。</w:t>
      </w:r>
    </w:p>
    <w:p w14:paraId="2C997F23">
      <w:pPr>
        <w:spacing w:line="560" w:lineRule="exact"/>
        <w:ind w:firstLine="640" w:firstLineChars="200"/>
        <w:rPr>
          <w:rFonts w:eastAsia="仿宋_GB2312"/>
          <w:sz w:val="32"/>
          <w:szCs w:val="32"/>
        </w:rPr>
      </w:pPr>
    </w:p>
    <w:p w14:paraId="138F4A9B">
      <w:pPr>
        <w:pStyle w:val="2"/>
        <w:spacing w:line="560" w:lineRule="exact"/>
        <w:ind w:firstLine="5385" w:firstLineChars="1683"/>
        <w:jc w:val="center"/>
        <w:rPr>
          <w:rFonts w:eastAsia="仿宋_GB2312"/>
          <w:sz w:val="32"/>
          <w:szCs w:val="32"/>
        </w:rPr>
      </w:pPr>
      <w:r>
        <w:rPr>
          <w:rFonts w:eastAsia="仿宋_GB2312"/>
          <w:sz w:val="32"/>
          <w:szCs w:val="32"/>
        </w:rPr>
        <w:t>标准起草工作组</w:t>
      </w:r>
    </w:p>
    <w:p w14:paraId="6268BEB4">
      <w:pPr>
        <w:pStyle w:val="2"/>
        <w:spacing w:line="560" w:lineRule="exact"/>
        <w:ind w:firstLine="5385" w:firstLineChars="1683"/>
        <w:jc w:val="center"/>
        <w:rPr>
          <w:sz w:val="24"/>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p>
    <w:p w14:paraId="5860B1A8"/>
    <w:sectPr>
      <w:footerReference r:id="rId3" w:type="default"/>
      <w:pgSz w:w="11906" w:h="16838"/>
      <w:pgMar w:top="2154" w:right="1587" w:bottom="1701"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121387"/>
      <w:docPartObj>
        <w:docPartGallery w:val="autotext"/>
      </w:docPartObj>
    </w:sdtPr>
    <w:sdtContent>
      <w:p w14:paraId="7367108D">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NmRlYTk2MzgyZTEwM2YzZWRkZjM5ZjJkZjRhMTMifQ=="/>
  </w:docVars>
  <w:rsids>
    <w:rsidRoot w:val="0410623C"/>
    <w:rsid w:val="0410623C"/>
    <w:rsid w:val="552E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3644</Words>
  <Characters>3984</Characters>
  <Lines>0</Lines>
  <Paragraphs>0</Paragraphs>
  <TotalTime>14</TotalTime>
  <ScaleCrop>false</ScaleCrop>
  <LinksUpToDate>false</LinksUpToDate>
  <CharactersWithSpaces>4080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2024-09-24T08:41:00Z</dcterms:created>
  <dc:creator>路过</dc:creator>
  <cp:lastModifiedBy>路过</cp:lastModifiedBy>
  <dcterms:modified xsi:type="dcterms:W3CDTF">2024-09-25T08:47:47Z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EBDACB960C2A42769F3C04E40B3B5C81_11</vt:lpwstr>
  </property>
</Properties>
</file>