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right="33" w:firstLine="480"/>
        <w:rPr>
          <w:rFonts w:eastAsia="仿宋_GB2312"/>
        </w:rPr>
      </w:pPr>
      <w:bookmarkStart w:id="22" w:name="_GoBack"/>
      <w:bookmarkEnd w:id="22"/>
    </w:p>
    <w:p>
      <w:pPr>
        <w:ind w:firstLine="0" w:firstLineChars="0"/>
        <w:jc w:val="left"/>
        <w:rPr>
          <w:rFonts w:eastAsia="仿宋_GB2312"/>
          <w:sz w:val="36"/>
          <w:szCs w:val="36"/>
        </w:rPr>
      </w:pPr>
      <w:r>
        <w:rPr>
          <w:rFonts w:eastAsia="仿宋_GB2312"/>
          <w:sz w:val="36"/>
          <w:szCs w:val="36"/>
        </w:rPr>
        <w:t>达州市地方标准</w:t>
      </w:r>
    </w:p>
    <w:p>
      <w:pPr>
        <w:ind w:firstLine="0" w:firstLineChars="0"/>
        <w:jc w:val="center"/>
        <w:rPr>
          <w:rFonts w:eastAsia="仿宋_GB2312"/>
          <w:sz w:val="30"/>
          <w:szCs w:val="30"/>
        </w:rPr>
      </w:pPr>
    </w:p>
    <w:p>
      <w:pPr>
        <w:ind w:firstLine="0" w:firstLineChars="0"/>
        <w:jc w:val="center"/>
        <w:rPr>
          <w:rFonts w:eastAsia="仿宋_GB2312"/>
          <w:sz w:val="30"/>
          <w:szCs w:val="30"/>
        </w:rPr>
      </w:pPr>
    </w:p>
    <w:p>
      <w:pPr>
        <w:ind w:firstLine="0" w:firstLineChars="0"/>
        <w:jc w:val="center"/>
        <w:rPr>
          <w:rFonts w:eastAsia="仿宋_GB2312"/>
          <w:sz w:val="30"/>
          <w:szCs w:val="30"/>
        </w:rPr>
      </w:pPr>
    </w:p>
    <w:p>
      <w:pPr>
        <w:ind w:firstLine="0" w:firstLineChars="0"/>
        <w:jc w:val="center"/>
        <w:rPr>
          <w:rFonts w:eastAsia="仿宋_GB2312"/>
          <w:sz w:val="30"/>
          <w:szCs w:val="30"/>
        </w:rPr>
      </w:pPr>
    </w:p>
    <w:p>
      <w:pPr>
        <w:ind w:firstLine="0" w:firstLineChars="0"/>
        <w:jc w:val="center"/>
        <w:rPr>
          <w:rFonts w:eastAsia="黑体"/>
          <w:sz w:val="48"/>
          <w:szCs w:val="48"/>
        </w:rPr>
      </w:pPr>
      <w:r>
        <w:rPr>
          <w:rFonts w:eastAsia="黑体"/>
          <w:sz w:val="48"/>
          <w:szCs w:val="48"/>
        </w:rPr>
        <w:t>《</w:t>
      </w:r>
      <w:r>
        <w:rPr>
          <w:rFonts w:hint="eastAsia" w:eastAsia="黑体"/>
          <w:sz w:val="48"/>
          <w:szCs w:val="48"/>
        </w:rPr>
        <w:t>公路水泥稳定磷石膏基层应用技术</w:t>
      </w:r>
    </w:p>
    <w:p>
      <w:pPr>
        <w:ind w:firstLine="0" w:firstLineChars="0"/>
        <w:jc w:val="center"/>
        <w:rPr>
          <w:rFonts w:eastAsia="黑体"/>
          <w:sz w:val="48"/>
          <w:szCs w:val="48"/>
        </w:rPr>
      </w:pPr>
      <w:r>
        <w:rPr>
          <w:rFonts w:hint="eastAsia" w:eastAsia="黑体"/>
          <w:sz w:val="48"/>
          <w:szCs w:val="48"/>
        </w:rPr>
        <w:t>规范</w:t>
      </w:r>
      <w:r>
        <w:rPr>
          <w:rFonts w:eastAsia="黑体"/>
          <w:sz w:val="48"/>
          <w:szCs w:val="48"/>
        </w:rPr>
        <w:t>》</w:t>
      </w:r>
      <w:r>
        <w:rPr>
          <w:rFonts w:hint="eastAsia" w:eastAsia="黑体"/>
          <w:sz w:val="48"/>
          <w:szCs w:val="48"/>
        </w:rPr>
        <w:t>（修订版）</w:t>
      </w:r>
      <w:r>
        <w:rPr>
          <w:rFonts w:eastAsia="黑体"/>
          <w:sz w:val="48"/>
          <w:szCs w:val="48"/>
        </w:rPr>
        <w:t>编制说明</w:t>
      </w:r>
    </w:p>
    <w:p>
      <w:pPr>
        <w:ind w:firstLine="0" w:firstLineChars="0"/>
        <w:jc w:val="center"/>
        <w:rPr>
          <w:rFonts w:eastAsia="仿宋_GB2312"/>
          <w:sz w:val="30"/>
          <w:szCs w:val="30"/>
        </w:rPr>
      </w:pPr>
      <w:r>
        <w:rPr>
          <w:rFonts w:hint="eastAsia" w:eastAsia="黑体"/>
          <w:sz w:val="48"/>
          <w:szCs w:val="48"/>
        </w:rPr>
        <w:t>（征求意见稿）</w:t>
      </w:r>
    </w:p>
    <w:p>
      <w:pPr>
        <w:ind w:firstLine="0" w:firstLineChars="0"/>
        <w:jc w:val="center"/>
        <w:rPr>
          <w:rFonts w:eastAsia="仿宋_GB2312"/>
          <w:sz w:val="30"/>
          <w:szCs w:val="30"/>
        </w:rPr>
      </w:pPr>
    </w:p>
    <w:p>
      <w:pPr>
        <w:ind w:firstLine="0" w:firstLineChars="0"/>
        <w:jc w:val="center"/>
        <w:rPr>
          <w:rFonts w:eastAsia="仿宋_GB2312"/>
          <w:sz w:val="30"/>
          <w:szCs w:val="30"/>
        </w:rPr>
      </w:pPr>
    </w:p>
    <w:p>
      <w:pPr>
        <w:ind w:firstLine="0" w:firstLineChars="0"/>
        <w:jc w:val="center"/>
        <w:rPr>
          <w:rFonts w:eastAsia="仿宋_GB2312"/>
          <w:sz w:val="30"/>
          <w:szCs w:val="30"/>
        </w:rPr>
      </w:pPr>
    </w:p>
    <w:p>
      <w:pPr>
        <w:ind w:firstLine="0" w:firstLineChars="0"/>
        <w:jc w:val="center"/>
        <w:rPr>
          <w:rFonts w:eastAsia="仿宋_GB2312"/>
          <w:sz w:val="36"/>
          <w:szCs w:val="36"/>
        </w:rPr>
      </w:pPr>
    </w:p>
    <w:p>
      <w:pPr>
        <w:ind w:firstLine="0" w:firstLineChars="0"/>
        <w:jc w:val="center"/>
        <w:rPr>
          <w:rFonts w:eastAsia="仿宋_GB2312"/>
          <w:sz w:val="36"/>
          <w:szCs w:val="36"/>
        </w:rPr>
      </w:pPr>
      <w:r>
        <w:rPr>
          <w:rFonts w:eastAsia="仿宋_GB2312"/>
          <w:sz w:val="36"/>
          <w:szCs w:val="36"/>
        </w:rPr>
        <w:t xml:space="preserve">      主编单位：四川省交通勘察设计研究院有限公司</w:t>
      </w:r>
    </w:p>
    <w:p>
      <w:pPr>
        <w:ind w:firstLine="0" w:firstLineChars="0"/>
        <w:jc w:val="center"/>
        <w:rPr>
          <w:rFonts w:eastAsia="仿宋_GB2312"/>
          <w:sz w:val="36"/>
          <w:szCs w:val="36"/>
        </w:rPr>
      </w:pPr>
      <w:r>
        <w:rPr>
          <w:rFonts w:hint="eastAsia" w:eastAsia="仿宋_GB2312"/>
          <w:sz w:val="36"/>
          <w:szCs w:val="36"/>
        </w:rPr>
        <w:t xml:space="preserve">          </w:t>
      </w:r>
      <w:r>
        <w:rPr>
          <w:rFonts w:eastAsia="仿宋_GB2312"/>
          <w:sz w:val="36"/>
          <w:szCs w:val="36"/>
        </w:rPr>
        <w:t xml:space="preserve">四川景达新材料科技有限公司 </w:t>
      </w:r>
    </w:p>
    <w:p>
      <w:pPr>
        <w:ind w:left="-283" w:leftChars="-118" w:firstLine="0" w:firstLineChars="0"/>
        <w:jc w:val="center"/>
        <w:rPr>
          <w:rFonts w:eastAsia="仿宋_GB2312"/>
          <w:sz w:val="36"/>
          <w:szCs w:val="36"/>
        </w:rPr>
      </w:pPr>
      <w:r>
        <w:rPr>
          <w:rFonts w:eastAsia="仿宋_GB2312"/>
          <w:sz w:val="36"/>
          <w:szCs w:val="36"/>
        </w:rPr>
        <w:t>参编单位：瓮福达州化工有限责任公司</w:t>
      </w:r>
    </w:p>
    <w:p>
      <w:pPr>
        <w:ind w:firstLine="0" w:firstLineChars="0"/>
        <w:jc w:val="center"/>
        <w:rPr>
          <w:rFonts w:eastAsia="仿宋_GB2312"/>
          <w:sz w:val="36"/>
          <w:szCs w:val="36"/>
        </w:rPr>
      </w:pPr>
      <w:r>
        <w:rPr>
          <w:rFonts w:eastAsia="仿宋_GB2312"/>
          <w:sz w:val="36"/>
          <w:szCs w:val="36"/>
        </w:rPr>
        <w:t xml:space="preserve">               达州市质量技术监督检验测试中心</w:t>
      </w:r>
    </w:p>
    <w:p>
      <w:pPr>
        <w:ind w:firstLine="0" w:firstLineChars="0"/>
        <w:jc w:val="center"/>
        <w:rPr>
          <w:rFonts w:eastAsia="仿宋_GB2312"/>
          <w:sz w:val="36"/>
          <w:szCs w:val="36"/>
        </w:rPr>
      </w:pPr>
      <w:r>
        <w:rPr>
          <w:rFonts w:eastAsia="仿宋_GB2312"/>
          <w:sz w:val="36"/>
          <w:szCs w:val="36"/>
        </w:rPr>
        <w:t xml:space="preserve">         达州市生态环境科学研究院</w:t>
      </w:r>
    </w:p>
    <w:p>
      <w:pPr>
        <w:ind w:firstLine="0" w:firstLineChars="0"/>
        <w:jc w:val="center"/>
        <w:rPr>
          <w:rFonts w:eastAsia="仿宋_GB2312"/>
          <w:sz w:val="36"/>
          <w:szCs w:val="36"/>
        </w:rPr>
      </w:pPr>
      <w:r>
        <w:rPr>
          <w:rFonts w:hint="eastAsia" w:eastAsia="仿宋_GB2312"/>
          <w:sz w:val="36"/>
          <w:szCs w:val="36"/>
        </w:rPr>
        <w:t xml:space="preserve">                四川省建材工业科学研究院有限公司</w:t>
      </w:r>
    </w:p>
    <w:p>
      <w:pPr>
        <w:ind w:firstLine="0" w:firstLineChars="0"/>
        <w:jc w:val="center"/>
        <w:rPr>
          <w:rFonts w:eastAsia="仿宋_GB2312"/>
          <w:sz w:val="36"/>
          <w:szCs w:val="36"/>
        </w:rPr>
      </w:pPr>
      <w:r>
        <w:rPr>
          <w:rFonts w:hint="eastAsia" w:eastAsia="仿宋_GB2312"/>
          <w:sz w:val="36"/>
          <w:szCs w:val="36"/>
        </w:rPr>
        <w:t xml:space="preserve">         四川国齐检测技术有限公司</w:t>
      </w:r>
    </w:p>
    <w:p>
      <w:pPr>
        <w:ind w:firstLine="0" w:firstLineChars="0"/>
        <w:jc w:val="center"/>
        <w:rPr>
          <w:rFonts w:eastAsia="仿宋_GB2312"/>
          <w:sz w:val="36"/>
          <w:szCs w:val="36"/>
        </w:rPr>
      </w:pPr>
    </w:p>
    <w:p>
      <w:pPr>
        <w:ind w:firstLine="0" w:firstLineChars="0"/>
        <w:jc w:val="center"/>
        <w:rPr>
          <w:rFonts w:eastAsia="仿宋_GB2312"/>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701" w:header="851" w:footer="992" w:gutter="0"/>
          <w:cols w:space="720" w:num="1"/>
          <w:docGrid w:type="lines" w:linePitch="312" w:charSpace="0"/>
        </w:sectPr>
      </w:pPr>
      <w:r>
        <w:rPr>
          <w:rFonts w:eastAsia="仿宋_GB2312"/>
          <w:sz w:val="36"/>
          <w:szCs w:val="36"/>
        </w:rPr>
        <w:t>202</w:t>
      </w:r>
      <w:r>
        <w:rPr>
          <w:rFonts w:hint="eastAsia" w:eastAsia="仿宋_GB2312"/>
          <w:sz w:val="36"/>
          <w:szCs w:val="36"/>
        </w:rPr>
        <w:t>4</w:t>
      </w:r>
      <w:r>
        <w:rPr>
          <w:rFonts w:eastAsia="仿宋_GB2312"/>
          <w:sz w:val="36"/>
          <w:szCs w:val="36"/>
        </w:rPr>
        <w:t>年</w:t>
      </w:r>
      <w:r>
        <w:rPr>
          <w:rFonts w:hint="eastAsia" w:eastAsia="仿宋_GB2312"/>
          <w:sz w:val="36"/>
          <w:szCs w:val="36"/>
        </w:rPr>
        <w:t>10</w:t>
      </w:r>
      <w:r>
        <w:rPr>
          <w:rFonts w:eastAsia="仿宋_GB2312"/>
          <w:sz w:val="36"/>
          <w:szCs w:val="36"/>
        </w:rPr>
        <w:t>月</w:t>
      </w:r>
    </w:p>
    <w:p>
      <w:pPr>
        <w:ind w:firstLine="0" w:firstLineChars="0"/>
        <w:jc w:val="center"/>
        <w:rPr>
          <w:b/>
          <w:sz w:val="36"/>
          <w:szCs w:val="36"/>
        </w:rPr>
      </w:pPr>
    </w:p>
    <w:p>
      <w:pPr>
        <w:ind w:firstLine="0" w:firstLineChars="0"/>
        <w:jc w:val="center"/>
        <w:rPr>
          <w:b/>
          <w:sz w:val="36"/>
          <w:szCs w:val="36"/>
        </w:rPr>
      </w:pPr>
      <w:r>
        <w:rPr>
          <w:b/>
          <w:sz w:val="36"/>
          <w:szCs w:val="36"/>
        </w:rPr>
        <w:t>目</w:t>
      </w:r>
      <w:r>
        <w:rPr>
          <w:b/>
          <w:sz w:val="36"/>
          <w:szCs w:val="36"/>
        </w:rPr>
        <w:tab/>
      </w:r>
      <w:r>
        <w:rPr>
          <w:b/>
          <w:sz w:val="36"/>
          <w:szCs w:val="36"/>
        </w:rPr>
        <w:tab/>
      </w:r>
      <w:r>
        <w:rPr>
          <w:b/>
          <w:sz w:val="36"/>
          <w:szCs w:val="36"/>
        </w:rPr>
        <w:t>录</w:t>
      </w:r>
    </w:p>
    <w:p>
      <w:pPr>
        <w:ind w:firstLine="0" w:firstLineChars="0"/>
        <w:jc w:val="center"/>
        <w:rPr>
          <w:rFonts w:hint="eastAsia" w:ascii="宋体" w:hAnsi="宋体"/>
          <w:b/>
          <w:szCs w:val="24"/>
        </w:rPr>
      </w:pPr>
    </w:p>
    <w:p>
      <w:pPr>
        <w:pStyle w:val="14"/>
        <w:tabs>
          <w:tab w:val="right" w:leader="dot" w:pos="8777"/>
        </w:tabs>
        <w:ind w:firstLine="480"/>
        <w:jc w:val="left"/>
        <w:rPr>
          <w:rFonts w:hint="eastAsia" w:ascii="宋体" w:hAnsi="宋体" w:cstheme="minorBidi"/>
          <w:bCs/>
          <w:szCs w:val="24"/>
          <w14:ligatures w14:val="standardContextual"/>
        </w:rPr>
      </w:pPr>
      <w:r>
        <w:rPr>
          <w:rFonts w:hint="eastAsia" w:ascii="宋体" w:hAnsi="宋体"/>
          <w:bCs/>
          <w:caps/>
          <w:smallCaps/>
          <w:szCs w:val="24"/>
        </w:rPr>
        <w:fldChar w:fldCharType="begin"/>
      </w:r>
      <w:r>
        <w:rPr>
          <w:rFonts w:hint="eastAsia" w:ascii="宋体" w:hAnsi="宋体"/>
          <w:bCs/>
          <w:smallCaps/>
          <w:szCs w:val="24"/>
        </w:rPr>
        <w:instrText xml:space="preserve"> TOC \o "1-2" \h \z \u </w:instrText>
      </w:r>
      <w:r>
        <w:rPr>
          <w:rFonts w:hint="eastAsia" w:ascii="宋体" w:hAnsi="宋体"/>
          <w:bCs/>
          <w:caps/>
          <w:smallCaps/>
          <w:szCs w:val="24"/>
        </w:rPr>
        <w:fldChar w:fldCharType="separate"/>
      </w:r>
      <w:r>
        <w:fldChar w:fldCharType="begin"/>
      </w:r>
      <w:r>
        <w:instrText xml:space="preserve"> HYPERLINK \l "_Toc178885869" </w:instrText>
      </w:r>
      <w:r>
        <w:fldChar w:fldCharType="separate"/>
      </w:r>
      <w:r>
        <w:rPr>
          <w:rStyle w:val="21"/>
          <w:rFonts w:hint="eastAsia" w:ascii="宋体" w:hAnsi="宋体"/>
          <w:bCs/>
          <w:szCs w:val="24"/>
        </w:rPr>
        <w:t>1 任务来源，起草单位，协作单位，主要起草人</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_Toc178885869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3</w:t>
      </w:r>
      <w:r>
        <w:rPr>
          <w:rFonts w:hint="eastAsia" w:ascii="宋体" w:hAnsi="宋体"/>
          <w:bCs/>
          <w:szCs w:val="24"/>
        </w:rPr>
        <w:fldChar w:fldCharType="end"/>
      </w:r>
      <w:r>
        <w:rPr>
          <w:rFonts w:hint="eastAsia" w:ascii="宋体" w:hAnsi="宋体"/>
          <w:bCs/>
          <w:szCs w:val="24"/>
        </w:rPr>
        <w:fldChar w:fldCharType="end"/>
      </w:r>
    </w:p>
    <w:p>
      <w:pPr>
        <w:pStyle w:val="16"/>
        <w:tabs>
          <w:tab w:val="right" w:leader="dot" w:pos="8777"/>
        </w:tabs>
        <w:ind w:left="480" w:firstLine="480"/>
        <w:jc w:val="left"/>
        <w:rPr>
          <w:rFonts w:hint="eastAsia" w:ascii="宋体" w:hAnsi="宋体" w:cstheme="minorBidi"/>
          <w:bCs/>
          <w:szCs w:val="24"/>
          <w14:ligatures w14:val="standardContextual"/>
        </w:rPr>
      </w:pPr>
      <w:r>
        <w:fldChar w:fldCharType="begin"/>
      </w:r>
      <w:r>
        <w:instrText xml:space="preserve"> HYPERLINK \l "_Toc178885870" </w:instrText>
      </w:r>
      <w:r>
        <w:fldChar w:fldCharType="separate"/>
      </w:r>
      <w:r>
        <w:rPr>
          <w:rStyle w:val="21"/>
          <w:rFonts w:hint="eastAsia" w:ascii="宋体" w:hAnsi="宋体"/>
          <w:bCs/>
          <w:szCs w:val="24"/>
        </w:rPr>
        <w:t>1.1 任务来源</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_Toc178885870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3</w:t>
      </w:r>
      <w:r>
        <w:rPr>
          <w:rFonts w:hint="eastAsia" w:ascii="宋体" w:hAnsi="宋体"/>
          <w:bCs/>
          <w:szCs w:val="24"/>
        </w:rPr>
        <w:fldChar w:fldCharType="end"/>
      </w:r>
      <w:r>
        <w:rPr>
          <w:rFonts w:hint="eastAsia" w:ascii="宋体" w:hAnsi="宋体"/>
          <w:bCs/>
          <w:szCs w:val="24"/>
        </w:rPr>
        <w:fldChar w:fldCharType="end"/>
      </w:r>
    </w:p>
    <w:p>
      <w:pPr>
        <w:pStyle w:val="16"/>
        <w:tabs>
          <w:tab w:val="right" w:leader="dot" w:pos="8777"/>
        </w:tabs>
        <w:ind w:left="480" w:firstLine="480"/>
        <w:jc w:val="left"/>
        <w:rPr>
          <w:rFonts w:hint="eastAsia" w:ascii="宋体" w:hAnsi="宋体" w:cstheme="minorBidi"/>
          <w:bCs/>
          <w:szCs w:val="24"/>
          <w14:ligatures w14:val="standardContextual"/>
        </w:rPr>
      </w:pPr>
      <w:r>
        <w:fldChar w:fldCharType="begin"/>
      </w:r>
      <w:r>
        <w:instrText xml:space="preserve"> HYPERLINK \l "_Toc178885871" </w:instrText>
      </w:r>
      <w:r>
        <w:fldChar w:fldCharType="separate"/>
      </w:r>
      <w:r>
        <w:rPr>
          <w:rStyle w:val="21"/>
          <w:rFonts w:hint="eastAsia" w:ascii="宋体" w:hAnsi="宋体"/>
          <w:bCs/>
          <w:szCs w:val="24"/>
        </w:rPr>
        <w:t>1.2 起草单位</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_Toc178885871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3</w:t>
      </w:r>
      <w:r>
        <w:rPr>
          <w:rFonts w:hint="eastAsia" w:ascii="宋体" w:hAnsi="宋体"/>
          <w:bCs/>
          <w:szCs w:val="24"/>
        </w:rPr>
        <w:fldChar w:fldCharType="end"/>
      </w:r>
      <w:r>
        <w:rPr>
          <w:rFonts w:hint="eastAsia" w:ascii="宋体" w:hAnsi="宋体"/>
          <w:bCs/>
          <w:szCs w:val="24"/>
        </w:rPr>
        <w:fldChar w:fldCharType="end"/>
      </w:r>
    </w:p>
    <w:p>
      <w:pPr>
        <w:pStyle w:val="16"/>
        <w:tabs>
          <w:tab w:val="right" w:leader="dot" w:pos="8777"/>
        </w:tabs>
        <w:ind w:left="480" w:firstLine="480"/>
        <w:jc w:val="left"/>
        <w:rPr>
          <w:rFonts w:hint="eastAsia" w:ascii="宋体" w:hAnsi="宋体" w:cstheme="minorBidi"/>
          <w:bCs/>
          <w:szCs w:val="24"/>
          <w14:ligatures w14:val="standardContextual"/>
        </w:rPr>
      </w:pPr>
      <w:r>
        <w:fldChar w:fldCharType="begin"/>
      </w:r>
      <w:r>
        <w:instrText xml:space="preserve"> HYPERLINK \l "_Toc178885872" </w:instrText>
      </w:r>
      <w:r>
        <w:fldChar w:fldCharType="separate"/>
      </w:r>
      <w:r>
        <w:rPr>
          <w:rStyle w:val="21"/>
          <w:rFonts w:hint="eastAsia" w:ascii="宋体" w:hAnsi="宋体"/>
          <w:bCs/>
          <w:szCs w:val="24"/>
        </w:rPr>
        <w:t>1.3 协作单位</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_Toc178885872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4</w:t>
      </w:r>
      <w:r>
        <w:rPr>
          <w:rFonts w:hint="eastAsia" w:ascii="宋体" w:hAnsi="宋体"/>
          <w:bCs/>
          <w:szCs w:val="24"/>
        </w:rPr>
        <w:fldChar w:fldCharType="end"/>
      </w:r>
      <w:r>
        <w:rPr>
          <w:rFonts w:hint="eastAsia" w:ascii="宋体" w:hAnsi="宋体"/>
          <w:bCs/>
          <w:szCs w:val="24"/>
        </w:rPr>
        <w:fldChar w:fldCharType="end"/>
      </w:r>
    </w:p>
    <w:p>
      <w:pPr>
        <w:pStyle w:val="16"/>
        <w:tabs>
          <w:tab w:val="right" w:leader="dot" w:pos="8777"/>
        </w:tabs>
        <w:ind w:left="480" w:firstLine="480"/>
        <w:jc w:val="left"/>
        <w:rPr>
          <w:rFonts w:hint="eastAsia" w:ascii="宋体" w:hAnsi="宋体" w:cstheme="minorBidi"/>
          <w:bCs/>
          <w:szCs w:val="24"/>
          <w14:ligatures w14:val="standardContextual"/>
        </w:rPr>
      </w:pPr>
      <w:r>
        <w:fldChar w:fldCharType="begin"/>
      </w:r>
      <w:r>
        <w:instrText xml:space="preserve"> HYPERLINK \l "_Toc178885873" </w:instrText>
      </w:r>
      <w:r>
        <w:fldChar w:fldCharType="separate"/>
      </w:r>
      <w:r>
        <w:rPr>
          <w:rStyle w:val="21"/>
          <w:rFonts w:hint="eastAsia" w:ascii="宋体" w:hAnsi="宋体"/>
          <w:bCs/>
          <w:szCs w:val="24"/>
        </w:rPr>
        <w:t>1.4 主要起草人及分工</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_Toc178885873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5</w:t>
      </w:r>
      <w:r>
        <w:rPr>
          <w:rFonts w:hint="eastAsia" w:ascii="宋体" w:hAnsi="宋体"/>
          <w:bCs/>
          <w:szCs w:val="24"/>
        </w:rPr>
        <w:fldChar w:fldCharType="end"/>
      </w:r>
      <w:r>
        <w:rPr>
          <w:rFonts w:hint="eastAsia" w:ascii="宋体" w:hAnsi="宋体"/>
          <w:bCs/>
          <w:szCs w:val="24"/>
        </w:rPr>
        <w:fldChar w:fldCharType="end"/>
      </w:r>
    </w:p>
    <w:p>
      <w:pPr>
        <w:pStyle w:val="14"/>
        <w:tabs>
          <w:tab w:val="right" w:leader="dot" w:pos="8777"/>
        </w:tabs>
        <w:ind w:firstLine="480"/>
        <w:jc w:val="left"/>
        <w:rPr>
          <w:rFonts w:hint="eastAsia" w:ascii="宋体" w:hAnsi="宋体" w:cstheme="minorBidi"/>
          <w:bCs/>
          <w:szCs w:val="24"/>
          <w14:ligatures w14:val="standardContextual"/>
        </w:rPr>
      </w:pPr>
      <w:r>
        <w:fldChar w:fldCharType="begin"/>
      </w:r>
      <w:r>
        <w:instrText xml:space="preserve"> HYPERLINK \l "_Toc178885874" </w:instrText>
      </w:r>
      <w:r>
        <w:fldChar w:fldCharType="separate"/>
      </w:r>
      <w:r>
        <w:rPr>
          <w:rStyle w:val="21"/>
          <w:rFonts w:hint="eastAsia" w:ascii="宋体" w:hAnsi="宋体"/>
          <w:bCs/>
          <w:szCs w:val="24"/>
        </w:rPr>
        <w:t>2 制定标准的必要性和意义</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_Toc178885874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6</w:t>
      </w:r>
      <w:r>
        <w:rPr>
          <w:rFonts w:hint="eastAsia" w:ascii="宋体" w:hAnsi="宋体"/>
          <w:bCs/>
          <w:szCs w:val="24"/>
        </w:rPr>
        <w:fldChar w:fldCharType="end"/>
      </w:r>
      <w:r>
        <w:rPr>
          <w:rFonts w:hint="eastAsia" w:ascii="宋体" w:hAnsi="宋体"/>
          <w:bCs/>
          <w:szCs w:val="24"/>
        </w:rPr>
        <w:fldChar w:fldCharType="end"/>
      </w:r>
    </w:p>
    <w:p>
      <w:pPr>
        <w:pStyle w:val="14"/>
        <w:tabs>
          <w:tab w:val="right" w:leader="dot" w:pos="8777"/>
        </w:tabs>
        <w:ind w:firstLine="480"/>
        <w:jc w:val="left"/>
        <w:rPr>
          <w:rFonts w:hint="eastAsia" w:ascii="宋体" w:hAnsi="宋体" w:cstheme="minorBidi"/>
          <w:bCs/>
          <w:szCs w:val="24"/>
          <w14:ligatures w14:val="standardContextual"/>
        </w:rPr>
      </w:pPr>
      <w:r>
        <w:fldChar w:fldCharType="begin"/>
      </w:r>
      <w:r>
        <w:instrText xml:space="preserve"> HYPERLINK \l "_Toc178885875" </w:instrText>
      </w:r>
      <w:r>
        <w:fldChar w:fldCharType="separate"/>
      </w:r>
      <w:r>
        <w:rPr>
          <w:rStyle w:val="21"/>
          <w:rFonts w:hint="eastAsia" w:ascii="宋体" w:hAnsi="宋体"/>
          <w:bCs/>
          <w:szCs w:val="24"/>
        </w:rPr>
        <w:t>3主要工作过程</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_Toc178885875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8</w:t>
      </w:r>
      <w:r>
        <w:rPr>
          <w:rFonts w:hint="eastAsia" w:ascii="宋体" w:hAnsi="宋体"/>
          <w:bCs/>
          <w:szCs w:val="24"/>
        </w:rPr>
        <w:fldChar w:fldCharType="end"/>
      </w:r>
      <w:r>
        <w:rPr>
          <w:rFonts w:hint="eastAsia" w:ascii="宋体" w:hAnsi="宋体"/>
          <w:bCs/>
          <w:szCs w:val="24"/>
        </w:rPr>
        <w:fldChar w:fldCharType="end"/>
      </w:r>
    </w:p>
    <w:p>
      <w:pPr>
        <w:pStyle w:val="14"/>
        <w:tabs>
          <w:tab w:val="right" w:leader="dot" w:pos="8777"/>
        </w:tabs>
        <w:ind w:firstLine="480"/>
        <w:jc w:val="left"/>
        <w:rPr>
          <w:rFonts w:hint="eastAsia" w:ascii="宋体" w:hAnsi="宋体" w:cstheme="minorBidi"/>
          <w:bCs/>
          <w:szCs w:val="24"/>
          <w14:ligatures w14:val="standardContextual"/>
        </w:rPr>
      </w:pPr>
      <w:r>
        <w:fldChar w:fldCharType="begin"/>
      </w:r>
      <w:r>
        <w:instrText xml:space="preserve"> HYPERLINK \l "_Toc178885876" </w:instrText>
      </w:r>
      <w:r>
        <w:fldChar w:fldCharType="separate"/>
      </w:r>
      <w:r>
        <w:rPr>
          <w:rStyle w:val="21"/>
          <w:rFonts w:hint="eastAsia" w:ascii="宋体" w:hAnsi="宋体"/>
          <w:bCs/>
          <w:szCs w:val="24"/>
        </w:rPr>
        <w:t>4 制定标准的原则和依据，与现行法律法规、标准的关系</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_Toc178885876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8</w:t>
      </w:r>
      <w:r>
        <w:rPr>
          <w:rFonts w:hint="eastAsia" w:ascii="宋体" w:hAnsi="宋体"/>
          <w:bCs/>
          <w:szCs w:val="24"/>
        </w:rPr>
        <w:fldChar w:fldCharType="end"/>
      </w:r>
      <w:r>
        <w:rPr>
          <w:rFonts w:hint="eastAsia" w:ascii="宋体" w:hAnsi="宋体"/>
          <w:bCs/>
          <w:szCs w:val="24"/>
        </w:rPr>
        <w:fldChar w:fldCharType="end"/>
      </w:r>
    </w:p>
    <w:p>
      <w:pPr>
        <w:pStyle w:val="16"/>
        <w:tabs>
          <w:tab w:val="right" w:leader="dot" w:pos="8777"/>
        </w:tabs>
        <w:ind w:left="480" w:firstLine="480"/>
        <w:jc w:val="left"/>
        <w:rPr>
          <w:rFonts w:hint="eastAsia" w:ascii="宋体" w:hAnsi="宋体" w:cstheme="minorBidi"/>
          <w:bCs/>
          <w:szCs w:val="24"/>
          <w14:ligatures w14:val="standardContextual"/>
        </w:rPr>
      </w:pPr>
      <w:r>
        <w:fldChar w:fldCharType="begin"/>
      </w:r>
      <w:r>
        <w:instrText xml:space="preserve"> HYPERLINK \l "_Toc178885877" </w:instrText>
      </w:r>
      <w:r>
        <w:fldChar w:fldCharType="separate"/>
      </w:r>
      <w:r>
        <w:rPr>
          <w:rStyle w:val="21"/>
          <w:rFonts w:hint="eastAsia" w:ascii="宋体" w:hAnsi="宋体"/>
          <w:bCs/>
          <w:szCs w:val="24"/>
        </w:rPr>
        <w:t>4.1本标准编制遵循原则</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_Toc178885877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8</w:t>
      </w:r>
      <w:r>
        <w:rPr>
          <w:rFonts w:hint="eastAsia" w:ascii="宋体" w:hAnsi="宋体"/>
          <w:bCs/>
          <w:szCs w:val="24"/>
        </w:rPr>
        <w:fldChar w:fldCharType="end"/>
      </w:r>
      <w:r>
        <w:rPr>
          <w:rFonts w:hint="eastAsia" w:ascii="宋体" w:hAnsi="宋体"/>
          <w:bCs/>
          <w:szCs w:val="24"/>
        </w:rPr>
        <w:fldChar w:fldCharType="end"/>
      </w:r>
    </w:p>
    <w:p>
      <w:pPr>
        <w:pStyle w:val="16"/>
        <w:tabs>
          <w:tab w:val="right" w:leader="dot" w:pos="8777"/>
        </w:tabs>
        <w:ind w:left="480" w:firstLine="480"/>
        <w:jc w:val="left"/>
        <w:rPr>
          <w:rFonts w:hint="eastAsia" w:ascii="宋体" w:hAnsi="宋体" w:cstheme="minorBidi"/>
          <w:bCs/>
          <w:szCs w:val="24"/>
          <w14:ligatures w14:val="standardContextual"/>
        </w:rPr>
      </w:pPr>
      <w:r>
        <w:fldChar w:fldCharType="begin"/>
      </w:r>
      <w:r>
        <w:instrText xml:space="preserve"> HYPERLINK \l "_Toc178885878" </w:instrText>
      </w:r>
      <w:r>
        <w:fldChar w:fldCharType="separate"/>
      </w:r>
      <w:r>
        <w:rPr>
          <w:rStyle w:val="21"/>
          <w:rFonts w:hint="eastAsia" w:ascii="宋体" w:hAnsi="宋体"/>
          <w:bCs/>
          <w:szCs w:val="24"/>
        </w:rPr>
        <w:t>4.2与现行法律法规、标准的关系</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_Toc178885878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8</w:t>
      </w:r>
      <w:r>
        <w:rPr>
          <w:rFonts w:hint="eastAsia" w:ascii="宋体" w:hAnsi="宋体"/>
          <w:bCs/>
          <w:szCs w:val="24"/>
        </w:rPr>
        <w:fldChar w:fldCharType="end"/>
      </w:r>
      <w:r>
        <w:rPr>
          <w:rFonts w:hint="eastAsia" w:ascii="宋体" w:hAnsi="宋体"/>
          <w:bCs/>
          <w:szCs w:val="24"/>
        </w:rPr>
        <w:fldChar w:fldCharType="end"/>
      </w:r>
    </w:p>
    <w:p>
      <w:pPr>
        <w:pStyle w:val="14"/>
        <w:tabs>
          <w:tab w:val="right" w:leader="dot" w:pos="8777"/>
        </w:tabs>
        <w:ind w:firstLine="480"/>
        <w:jc w:val="left"/>
        <w:rPr>
          <w:rFonts w:hint="eastAsia" w:ascii="宋体" w:hAnsi="宋体" w:cstheme="minorBidi"/>
          <w:bCs/>
          <w:szCs w:val="24"/>
          <w14:ligatures w14:val="standardContextual"/>
        </w:rPr>
      </w:pPr>
      <w:r>
        <w:fldChar w:fldCharType="begin"/>
      </w:r>
      <w:r>
        <w:instrText xml:space="preserve"> HYPERLINK \l "_Toc178885879" </w:instrText>
      </w:r>
      <w:r>
        <w:fldChar w:fldCharType="separate"/>
      </w:r>
      <w:r>
        <w:rPr>
          <w:rStyle w:val="21"/>
          <w:rFonts w:hint="eastAsia" w:ascii="宋体" w:hAnsi="宋体"/>
          <w:bCs/>
          <w:szCs w:val="24"/>
        </w:rPr>
        <w:t>5修订现行有关标准的建议</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_Toc178885879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8</w:t>
      </w:r>
      <w:r>
        <w:rPr>
          <w:rFonts w:hint="eastAsia" w:ascii="宋体" w:hAnsi="宋体"/>
          <w:bCs/>
          <w:szCs w:val="24"/>
        </w:rPr>
        <w:fldChar w:fldCharType="end"/>
      </w:r>
      <w:r>
        <w:rPr>
          <w:rFonts w:hint="eastAsia" w:ascii="宋体" w:hAnsi="宋体"/>
          <w:bCs/>
          <w:szCs w:val="24"/>
        </w:rPr>
        <w:fldChar w:fldCharType="end"/>
      </w:r>
    </w:p>
    <w:p>
      <w:pPr>
        <w:pStyle w:val="14"/>
        <w:tabs>
          <w:tab w:val="right" w:leader="dot" w:pos="8777"/>
        </w:tabs>
        <w:ind w:firstLine="480"/>
        <w:jc w:val="left"/>
        <w:rPr>
          <w:rFonts w:hint="eastAsia" w:ascii="宋体" w:hAnsi="宋体" w:cstheme="minorBidi"/>
          <w:bCs/>
          <w:szCs w:val="24"/>
          <w14:ligatures w14:val="standardContextual"/>
        </w:rPr>
      </w:pPr>
      <w:r>
        <w:fldChar w:fldCharType="begin"/>
      </w:r>
      <w:r>
        <w:instrText xml:space="preserve"> HYPERLINK \l "_Toc178885880" </w:instrText>
      </w:r>
      <w:r>
        <w:fldChar w:fldCharType="separate"/>
      </w:r>
      <w:r>
        <w:rPr>
          <w:rStyle w:val="21"/>
          <w:rFonts w:hint="eastAsia" w:ascii="宋体" w:hAnsi="宋体"/>
          <w:bCs/>
          <w:szCs w:val="24"/>
        </w:rPr>
        <w:t>6重大意见分歧的处理依据和结果</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_Toc178885880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10</w:t>
      </w:r>
      <w:r>
        <w:rPr>
          <w:rFonts w:hint="eastAsia" w:ascii="宋体" w:hAnsi="宋体"/>
          <w:bCs/>
          <w:szCs w:val="24"/>
        </w:rPr>
        <w:fldChar w:fldCharType="end"/>
      </w:r>
      <w:r>
        <w:rPr>
          <w:rFonts w:hint="eastAsia" w:ascii="宋体" w:hAnsi="宋体"/>
          <w:bCs/>
          <w:szCs w:val="24"/>
        </w:rPr>
        <w:fldChar w:fldCharType="end"/>
      </w:r>
    </w:p>
    <w:p>
      <w:pPr>
        <w:pStyle w:val="14"/>
        <w:tabs>
          <w:tab w:val="right" w:leader="dot" w:pos="8777"/>
        </w:tabs>
        <w:ind w:firstLine="480"/>
        <w:jc w:val="left"/>
        <w:rPr>
          <w:rFonts w:hint="eastAsia" w:ascii="宋体" w:hAnsi="宋体" w:cstheme="minorBidi"/>
          <w:bCs/>
          <w:szCs w:val="24"/>
          <w14:ligatures w14:val="standardContextual"/>
        </w:rPr>
      </w:pPr>
      <w:r>
        <w:fldChar w:fldCharType="begin"/>
      </w:r>
      <w:r>
        <w:instrText xml:space="preserve"> HYPERLINK \l "_Toc178885881" </w:instrText>
      </w:r>
      <w:r>
        <w:fldChar w:fldCharType="separate"/>
      </w:r>
      <w:r>
        <w:rPr>
          <w:rStyle w:val="21"/>
          <w:rFonts w:hint="eastAsia" w:ascii="宋体" w:hAnsi="宋体"/>
          <w:bCs/>
          <w:szCs w:val="24"/>
        </w:rPr>
        <w:t>7采用国际标准和国外先进标准的，说明采标程度，以及与国内外同类标准水平的对比情况</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_Toc178885881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10</w:t>
      </w:r>
      <w:r>
        <w:rPr>
          <w:rFonts w:hint="eastAsia" w:ascii="宋体" w:hAnsi="宋体"/>
          <w:bCs/>
          <w:szCs w:val="24"/>
        </w:rPr>
        <w:fldChar w:fldCharType="end"/>
      </w:r>
      <w:r>
        <w:rPr>
          <w:rFonts w:hint="eastAsia" w:ascii="宋体" w:hAnsi="宋体"/>
          <w:bCs/>
          <w:szCs w:val="24"/>
        </w:rPr>
        <w:fldChar w:fldCharType="end"/>
      </w:r>
    </w:p>
    <w:p>
      <w:pPr>
        <w:pStyle w:val="14"/>
        <w:tabs>
          <w:tab w:val="right" w:leader="dot" w:pos="8777"/>
        </w:tabs>
        <w:ind w:firstLine="480"/>
        <w:jc w:val="left"/>
        <w:rPr>
          <w:rFonts w:hint="eastAsia" w:ascii="宋体" w:hAnsi="宋体" w:cstheme="minorBidi"/>
          <w:bCs/>
          <w:szCs w:val="24"/>
          <w14:ligatures w14:val="standardContextual"/>
        </w:rPr>
      </w:pPr>
      <w:r>
        <w:fldChar w:fldCharType="begin"/>
      </w:r>
      <w:r>
        <w:instrText xml:space="preserve"> HYPERLINK \l "_Toc178885882" </w:instrText>
      </w:r>
      <w:r>
        <w:fldChar w:fldCharType="separate"/>
      </w:r>
      <w:r>
        <w:rPr>
          <w:rStyle w:val="21"/>
          <w:rFonts w:hint="eastAsia" w:ascii="宋体" w:hAnsi="宋体"/>
          <w:bCs/>
          <w:szCs w:val="24"/>
        </w:rPr>
        <w:t>8作为推荐性标准建议及其理由</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_Toc178885882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10</w:t>
      </w:r>
      <w:r>
        <w:rPr>
          <w:rFonts w:hint="eastAsia" w:ascii="宋体" w:hAnsi="宋体"/>
          <w:bCs/>
          <w:szCs w:val="24"/>
        </w:rPr>
        <w:fldChar w:fldCharType="end"/>
      </w:r>
      <w:r>
        <w:rPr>
          <w:rFonts w:hint="eastAsia" w:ascii="宋体" w:hAnsi="宋体"/>
          <w:bCs/>
          <w:szCs w:val="24"/>
        </w:rPr>
        <w:fldChar w:fldCharType="end"/>
      </w:r>
    </w:p>
    <w:p>
      <w:pPr>
        <w:pStyle w:val="14"/>
        <w:tabs>
          <w:tab w:val="right" w:leader="dot" w:pos="8777"/>
        </w:tabs>
        <w:ind w:firstLine="480"/>
        <w:jc w:val="left"/>
        <w:rPr>
          <w:rFonts w:hint="eastAsia" w:ascii="宋体" w:hAnsi="宋体" w:cstheme="minorBidi"/>
          <w:bCs/>
          <w:szCs w:val="24"/>
          <w14:ligatures w14:val="standardContextual"/>
        </w:rPr>
      </w:pPr>
      <w:r>
        <w:fldChar w:fldCharType="begin"/>
      </w:r>
      <w:r>
        <w:instrText xml:space="preserve"> HYPERLINK \l "_Toc178885883" </w:instrText>
      </w:r>
      <w:r>
        <w:fldChar w:fldCharType="separate"/>
      </w:r>
      <w:r>
        <w:rPr>
          <w:rStyle w:val="21"/>
          <w:rFonts w:hint="eastAsia" w:ascii="宋体" w:hAnsi="宋体"/>
          <w:bCs/>
          <w:szCs w:val="24"/>
        </w:rPr>
        <w:t>9 贯彻标准的措施建议</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_Toc178885883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11</w:t>
      </w:r>
      <w:r>
        <w:rPr>
          <w:rFonts w:hint="eastAsia" w:ascii="宋体" w:hAnsi="宋体"/>
          <w:bCs/>
          <w:szCs w:val="24"/>
        </w:rPr>
        <w:fldChar w:fldCharType="end"/>
      </w:r>
      <w:r>
        <w:rPr>
          <w:rFonts w:hint="eastAsia" w:ascii="宋体" w:hAnsi="宋体"/>
          <w:bCs/>
          <w:szCs w:val="24"/>
        </w:rPr>
        <w:fldChar w:fldCharType="end"/>
      </w:r>
    </w:p>
    <w:p>
      <w:pPr>
        <w:pStyle w:val="36"/>
        <w:ind w:firstLine="0" w:firstLineChars="0"/>
        <w:rPr>
          <w:rFonts w:ascii="Times New Roman" w:hAnsi="Times New Roman" w:eastAsia="仿宋_GB2312" w:cs="Times New Roman"/>
          <w:bCs/>
          <w:sz w:val="28"/>
          <w:szCs w:val="28"/>
        </w:rPr>
      </w:pPr>
      <w:r>
        <w:rPr>
          <w:rFonts w:hint="eastAsia" w:ascii="宋体" w:hAnsi="宋体" w:cs="Times New Roman"/>
          <w:bCs/>
          <w:smallCaps w:val="0"/>
          <w:sz w:val="24"/>
          <w:szCs w:val="24"/>
        </w:rPr>
        <w:fldChar w:fldCharType="end"/>
      </w:r>
    </w:p>
    <w:p>
      <w:pPr>
        <w:ind w:firstLine="480"/>
        <w:sectPr>
          <w:pgSz w:w="11906" w:h="16838"/>
          <w:pgMar w:top="1418" w:right="1418" w:bottom="1418" w:left="1701" w:header="851" w:footer="992" w:gutter="0"/>
          <w:cols w:space="720" w:num="1"/>
          <w:docGrid w:type="lines" w:linePitch="312" w:charSpace="0"/>
        </w:sectPr>
      </w:pPr>
    </w:p>
    <w:p>
      <w:pPr>
        <w:ind w:firstLine="0" w:firstLineChars="0"/>
        <w:jc w:val="left"/>
        <w:outlineLvl w:val="0"/>
        <w:rPr>
          <w:rFonts w:eastAsia="黑体"/>
          <w:sz w:val="28"/>
          <w:szCs w:val="28"/>
        </w:rPr>
      </w:pPr>
      <w:bookmarkStart w:id="0" w:name="_Toc178885869"/>
      <w:r>
        <w:rPr>
          <w:rFonts w:eastAsia="黑体"/>
          <w:sz w:val="28"/>
          <w:szCs w:val="28"/>
        </w:rPr>
        <w:t>1 任务来源，起草单位，</w:t>
      </w:r>
      <w:bookmarkStart w:id="1" w:name="_Hlk121589505"/>
      <w:r>
        <w:rPr>
          <w:rFonts w:eastAsia="黑体"/>
          <w:sz w:val="28"/>
          <w:szCs w:val="28"/>
        </w:rPr>
        <w:t>协作</w:t>
      </w:r>
      <w:bookmarkEnd w:id="1"/>
      <w:r>
        <w:rPr>
          <w:rFonts w:eastAsia="黑体"/>
          <w:sz w:val="28"/>
          <w:szCs w:val="28"/>
        </w:rPr>
        <w:t>单位，主要起草人</w:t>
      </w:r>
      <w:bookmarkEnd w:id="0"/>
    </w:p>
    <w:p>
      <w:pPr>
        <w:pStyle w:val="3"/>
      </w:pPr>
      <w:bookmarkStart w:id="2" w:name="_Toc178885870"/>
      <w:r>
        <w:t>任务来源</w:t>
      </w:r>
      <w:bookmarkEnd w:id="2"/>
    </w:p>
    <w:p>
      <w:pPr>
        <w:ind w:firstLine="480"/>
      </w:pPr>
      <w:r>
        <w:rPr>
          <w:rFonts w:hint="eastAsia"/>
        </w:rPr>
        <w:t>水泥稳定磷石膏基层在湖北、四川达州、德阳等地已有一定的应用，《公路水泥稳定磷石膏基层应用技术规范》（DB5117/T 77-2023）在近一年的应用过程中发现存在一定的遗漏，如部分应用者对压实度指标要求提出了异议，反应个别案例压实度难以满足要求；原规范应用范围主要限定在底基层，在近一年内对低等级道路基层的应用进行了经验积累；磷石膏无环保问题是其推广应用的关键，近一年上游单位在其无害化处理技术方面有了新的认知；在实际应用中，总结提炼施工工艺，在拌合、摊铺、碾压等方面有了更近一步的认知和技术积累；由于原规范中未明确施工过程质量检测及验收的相关内容，标准执行过程部分应用者建议明确相关内容。因此，编制组对一些遗漏和应用过程发现的问题进行了修订和说明。</w:t>
      </w:r>
    </w:p>
    <w:p>
      <w:pPr>
        <w:ind w:firstLine="480"/>
      </w:pPr>
      <w:r>
        <w:t>任务来源：</w:t>
      </w:r>
      <w:r>
        <w:rPr>
          <w:rFonts w:hint="eastAsia"/>
        </w:rPr>
        <w:t>达州市市场监督管理局《关于下达2024年度四川省(达州市)地方标准制修订项目立项计划的通知》</w:t>
      </w:r>
      <w:r>
        <w:t>（关于《公路水泥稳定磷石膏基层应用技术</w:t>
      </w:r>
      <w:r>
        <w:rPr>
          <w:rFonts w:hint="eastAsia"/>
        </w:rPr>
        <w:t>规范</w:t>
      </w:r>
      <w:r>
        <w:t>》的</w:t>
      </w:r>
      <w:r>
        <w:rPr>
          <w:rFonts w:hint="eastAsia"/>
        </w:rPr>
        <w:t>修订</w:t>
      </w:r>
      <w:r>
        <w:t>）。</w:t>
      </w:r>
    </w:p>
    <w:p>
      <w:pPr>
        <w:pStyle w:val="3"/>
        <w:rPr>
          <w:szCs w:val="28"/>
        </w:rPr>
      </w:pPr>
      <w:bookmarkStart w:id="3" w:name="_Toc178885871"/>
      <w:r>
        <w:rPr>
          <w:szCs w:val="28"/>
        </w:rPr>
        <w:t>起草单位</w:t>
      </w:r>
      <w:bookmarkEnd w:id="3"/>
    </w:p>
    <w:p>
      <w:pPr>
        <w:ind w:firstLine="480"/>
      </w:pPr>
      <w:r>
        <w:t>四川省交通勘察设计研究院有限公司成立于1990年，是以水运、公路勘察设计为主，集科研、咨询、监理、检测等专业于一体的综合交通工程咨询公司，为交通运输部认定的建筑信息模型（BIM）技术应用交通运输行业研发中心。建院以来，相继完成了700余项大中型水运工程项目、2万多公里公路勘察设计，承担200余项科研项目，主编、参编10余项交通运输部行业规范标准及专业书籍编著、修订工作。公司有10余项公路科研项目获中国公路学会科学技术奖、四川省科技进步奖和四川省公路学会科学技术奖等奖项，为规范编制提供了坚实的基础。四川省交通勘察设计研究院有限公司作为牵头单位，主要负责磷石膏室内试验、部分章节编制及统稿等工作。</w:t>
      </w:r>
    </w:p>
    <w:p>
      <w:pPr>
        <w:ind w:firstLine="480"/>
      </w:pPr>
      <w:r>
        <w:t>四川景达新材料科技有限公司位于达州市高新区瓮福基地磷石膏产业园，建设工业固废资源研发质检中心、年产120万吨水硬性磷石膏道路水稳层材料、10万吨轻质抹灰石膏砂浆、10万吨石膏基自流平、30万立方米石膏砌块、100万平方米石膏条板、60万吨水泥缓凝剂等。公司拥有20余项发明及实用新型专利，年处理工业副产磷石膏200万吨，系四川省内自动化程度高、规模大、产品覆盖广的工业固废磷石膏综合利用企业之一。公司以工业固废磷石膏为主要原料，向社会提供绿色环保、优质价廉的石膏类新型建材、交通、市政领域等产品。四川景达新材料科技有限公司主要负责水泥稳定磷石膏基层试验段施工、现场试验测试和部分章节的编制等工作。</w:t>
      </w:r>
    </w:p>
    <w:p>
      <w:pPr>
        <w:pStyle w:val="3"/>
        <w:rPr>
          <w:szCs w:val="28"/>
        </w:rPr>
      </w:pPr>
      <w:bookmarkStart w:id="4" w:name="_Toc178885872"/>
      <w:r>
        <w:rPr>
          <w:szCs w:val="28"/>
        </w:rPr>
        <w:t>协作单位</w:t>
      </w:r>
      <w:bookmarkEnd w:id="4"/>
    </w:p>
    <w:p>
      <w:pPr>
        <w:ind w:firstLine="480"/>
      </w:pPr>
      <w:r>
        <w:t>瓮福达州化工有限责任公司是瓮福集团对外投资规模最大的磷硫化工生产基地，坐落于四川达州高新技术产业园区，总投资超60亿元。公司现拥有硫磺制酸，磷酸，湿法净化磷酸，磷酸二铵，工业级、食品级、电池级磷酸盐和磷石膏综合利用等大型生产装置，同时配套年吞吐量1200万吨铁路专用线和水电气汽公用工程装置。公司是国家高新技术企业、国家知识产权示范企业，建立了中低品位磷矿及其共伴生资源高效利用国家重点实验室精细磷酸盐研究中心、省级企业技术中心、四川省磷资源综合利用工程技术研究中心等科研平台，先后获得全国优质工程奖等60余项荣誉，连续多年进入四川制造业100强、四川企业技术创新发展能力100强，入选四川制造业“贡嘎培优”企业。瓮福达州公司主导制定电池用磷酸盐行业标准2项，参与制定国家和行业标准5项，拥有授权专利120余项，其中发明专利20余项。瓮福达州化工有限责任公司主要负责磷石膏的无害化处理、部分章节编制等方面工作。</w:t>
      </w:r>
    </w:p>
    <w:p>
      <w:pPr>
        <w:ind w:firstLine="480"/>
      </w:pPr>
      <w:r>
        <w:t>达州市质量技术监督检验测试中心是达州市人民政府依法设置的计量、质量、纤维检验检测机构。中心现建有社会公用计量标准114项，可开展的检定、测试及校准项目204项，定量包装检测5项，过度包装检测1项，计量检测能力涵盖长度、温度、力学、物理化学、声学、光学、电磁、无线电、时间频率、电离辐射十个大类；质量检测认证参数2428个，质量检测能力涵盖轻工、化工、机械、电器、建筑材料、冶金、饲料、煤炭、天然气等18大类；苎麻检验2个大类，14个产品，101个参数；能源中心28个参数；天然气中心1个大类，9个产品，56个参数；玄纤中心2个大类、9个产品、49个参数。达州市质量技术监督检验测试中心主要负责磷石膏的微观试验、部分章节编制等方面工作。</w:t>
      </w:r>
    </w:p>
    <w:p>
      <w:pPr>
        <w:ind w:firstLine="480"/>
      </w:pPr>
      <w:r>
        <w:t>达州市生态环境科学研究院成立于2020年5月，是达州市生态环境局直属的环境科研公益一类正科级事业单位。目前，已申报市科技局项目1项，社科联课题3项，完成调研课题报告3篇，发表核心期刊论文10篇，完成各类技术服务项目16项。达州市生态环境科学研究院主要负责磷石膏环境影响评价、部分章节编制等方面工作。</w:t>
      </w:r>
    </w:p>
    <w:p>
      <w:pPr>
        <w:ind w:firstLine="480"/>
      </w:pPr>
      <w:r>
        <w:rPr>
          <w:rFonts w:hint="eastAsia"/>
        </w:rPr>
        <w:t>四川省建材工业科学研究院有限公司（原四川省建材工业科学研究院）成立于1964年，2001年转制为国有科技型企业，是集科技开发、工程咨询、设计监理、行业服务为一体的四川省唯一的建材应用类综合性科研单位，现隶属于四川振兴集团。四川省建材工业科学研究院有限公司</w:t>
      </w:r>
      <w:r>
        <w:t>主要负责原材料检测、磷石膏</w:t>
      </w:r>
      <w:r>
        <w:rPr>
          <w:rFonts w:hint="eastAsia"/>
        </w:rPr>
        <w:t>技术指标的确定</w:t>
      </w:r>
      <w:r>
        <w:t>等方面工作。</w:t>
      </w:r>
    </w:p>
    <w:p>
      <w:pPr>
        <w:ind w:firstLine="480"/>
      </w:pPr>
      <w:r>
        <w:rPr>
          <w:rFonts w:hint="eastAsia"/>
        </w:rPr>
        <w:t>四川国齐检测技术有限公司成立于2021年3月29日，位于四川省达州市，是一家专注于研究和试验发展的有限责任公司。经营范围涵盖检验检测服务、室内环境检测、建设工程质量检测、水利工程质量检测、雷电防护装置检测、司法鉴定服务以及建设工程勘察等多项业务。公司还致力于工程和技术的研究与试验发展，以及环境保护监测工作。四川国齐检测技术有限公司</w:t>
      </w:r>
      <w:r>
        <w:t>主要负责</w:t>
      </w:r>
      <w:r>
        <w:rPr>
          <w:rFonts w:hint="eastAsia"/>
        </w:rPr>
        <w:t>现场检测</w:t>
      </w:r>
      <w:r>
        <w:t>、部分章节编制等方面工作。</w:t>
      </w:r>
    </w:p>
    <w:p>
      <w:pPr>
        <w:pStyle w:val="3"/>
        <w:rPr>
          <w:szCs w:val="28"/>
        </w:rPr>
      </w:pPr>
      <w:bookmarkStart w:id="5" w:name="_Toc178885873"/>
      <w:r>
        <w:rPr>
          <w:szCs w:val="28"/>
        </w:rPr>
        <w:t>主要起草人及分工</w:t>
      </w:r>
      <w:bookmarkEnd w:id="5"/>
    </w:p>
    <w:p>
      <w:pPr>
        <w:ind w:firstLine="482"/>
      </w:pPr>
      <w:r>
        <w:rPr>
          <w:b/>
        </w:rPr>
        <w:t>主要起草人包括：</w:t>
      </w:r>
      <w:r>
        <w:rPr>
          <w:rFonts w:hint="eastAsia"/>
        </w:rPr>
        <w:t>黄晚清、曹明明、廖孝江、刘禾培、楚佳元、郑利平、付勇、李春洪、孙程、游宏、耿向永、吴建新、吴志勇、王庆远、王剑、陈军、桂骁、杜镇宇、李文旭、陈逍湘、左贵宁、李军、秦书丹、苗春泽、邓建波、潘远梅、曹磊、田陈燕、利璐、卢巧丽、兰滔、王睿麟、施念成。</w:t>
      </w:r>
    </w:p>
    <w:p>
      <w:pPr>
        <w:tabs>
          <w:tab w:val="left" w:pos="6411"/>
        </w:tabs>
        <w:ind w:firstLine="480"/>
        <w:jc w:val="center"/>
        <w:rPr>
          <w:rFonts w:eastAsia="Courier New"/>
          <w:b/>
        </w:rPr>
      </w:pPr>
      <w:r>
        <w:t>表1编写组成员分工</w:t>
      </w:r>
    </w:p>
    <w:tbl>
      <w:tblPr>
        <w:tblStyle w:val="18"/>
        <w:tblW w:w="87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5795"/>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b/>
                <w:szCs w:val="21"/>
              </w:rPr>
            </w:pPr>
            <w:r>
              <w:rPr>
                <w:b/>
                <w:szCs w:val="21"/>
              </w:rPr>
              <w:t>序号</w:t>
            </w:r>
          </w:p>
        </w:tc>
        <w:tc>
          <w:tcPr>
            <w:tcW w:w="5795" w:type="dxa"/>
            <w:vAlign w:val="center"/>
          </w:tcPr>
          <w:p>
            <w:pPr>
              <w:spacing w:line="240" w:lineRule="auto"/>
              <w:ind w:firstLine="0" w:firstLineChars="0"/>
              <w:jc w:val="center"/>
              <w:rPr>
                <w:b/>
                <w:szCs w:val="21"/>
              </w:rPr>
            </w:pPr>
            <w:r>
              <w:rPr>
                <w:b/>
                <w:szCs w:val="21"/>
              </w:rPr>
              <w:t>编写内容(章节名称)</w:t>
            </w:r>
          </w:p>
        </w:tc>
        <w:tc>
          <w:tcPr>
            <w:tcW w:w="2092" w:type="dxa"/>
            <w:vAlign w:val="center"/>
          </w:tcPr>
          <w:p>
            <w:pPr>
              <w:spacing w:line="240" w:lineRule="auto"/>
              <w:ind w:firstLine="0" w:firstLineChars="0"/>
              <w:jc w:val="center"/>
              <w:rPr>
                <w:b/>
                <w:szCs w:val="21"/>
              </w:rPr>
            </w:pPr>
            <w:r>
              <w:rPr>
                <w:b/>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w:t>
            </w:r>
          </w:p>
        </w:tc>
        <w:tc>
          <w:tcPr>
            <w:tcW w:w="5795" w:type="dxa"/>
            <w:vAlign w:val="center"/>
          </w:tcPr>
          <w:p>
            <w:pPr>
              <w:spacing w:line="240" w:lineRule="auto"/>
              <w:ind w:firstLine="0" w:firstLineChars="0"/>
              <w:rPr>
                <w:szCs w:val="21"/>
              </w:rPr>
            </w:pPr>
            <w:r>
              <w:rPr>
                <w:szCs w:val="21"/>
              </w:rPr>
              <w:t>1范围</w:t>
            </w:r>
          </w:p>
        </w:tc>
        <w:tc>
          <w:tcPr>
            <w:tcW w:w="2092" w:type="dxa"/>
            <w:vAlign w:val="center"/>
          </w:tcPr>
          <w:p>
            <w:pPr>
              <w:spacing w:line="240" w:lineRule="auto"/>
              <w:ind w:firstLine="0" w:firstLineChars="0"/>
              <w:jc w:val="center"/>
              <w:rPr>
                <w:szCs w:val="21"/>
              </w:rPr>
            </w:pPr>
            <w:r>
              <w:rPr>
                <w:szCs w:val="21"/>
              </w:rPr>
              <w:t>黄晚清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2</w:t>
            </w:r>
          </w:p>
        </w:tc>
        <w:tc>
          <w:tcPr>
            <w:tcW w:w="5795" w:type="dxa"/>
            <w:vAlign w:val="center"/>
          </w:tcPr>
          <w:p>
            <w:pPr>
              <w:spacing w:line="240" w:lineRule="auto"/>
              <w:ind w:firstLine="0" w:firstLineChars="0"/>
              <w:rPr>
                <w:szCs w:val="21"/>
              </w:rPr>
            </w:pPr>
            <w:r>
              <w:rPr>
                <w:szCs w:val="21"/>
              </w:rPr>
              <w:t>2规范性引用文件</w:t>
            </w:r>
          </w:p>
        </w:tc>
        <w:tc>
          <w:tcPr>
            <w:tcW w:w="2092" w:type="dxa"/>
            <w:vAlign w:val="center"/>
          </w:tcPr>
          <w:p>
            <w:pPr>
              <w:spacing w:line="240" w:lineRule="auto"/>
              <w:ind w:firstLine="0" w:firstLineChars="0"/>
              <w:jc w:val="center"/>
              <w:rPr>
                <w:szCs w:val="21"/>
              </w:rPr>
            </w:pPr>
            <w:r>
              <w:rPr>
                <w:szCs w:val="21"/>
              </w:rPr>
              <w:t>廖孝江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3</w:t>
            </w:r>
          </w:p>
        </w:tc>
        <w:tc>
          <w:tcPr>
            <w:tcW w:w="5795" w:type="dxa"/>
            <w:vAlign w:val="center"/>
          </w:tcPr>
          <w:p>
            <w:pPr>
              <w:spacing w:line="240" w:lineRule="auto"/>
              <w:ind w:firstLine="0" w:firstLineChars="0"/>
              <w:rPr>
                <w:szCs w:val="21"/>
              </w:rPr>
            </w:pPr>
            <w:r>
              <w:rPr>
                <w:szCs w:val="21"/>
              </w:rPr>
              <w:t>3术语和定义</w:t>
            </w:r>
          </w:p>
        </w:tc>
        <w:tc>
          <w:tcPr>
            <w:tcW w:w="2092" w:type="dxa"/>
            <w:vAlign w:val="center"/>
          </w:tcPr>
          <w:p>
            <w:pPr>
              <w:spacing w:line="240" w:lineRule="auto"/>
              <w:ind w:firstLine="0" w:firstLineChars="0"/>
              <w:jc w:val="center"/>
              <w:rPr>
                <w:szCs w:val="21"/>
              </w:rPr>
            </w:pPr>
            <w:r>
              <w:rPr>
                <w:szCs w:val="21"/>
              </w:rPr>
              <w:t>曹明明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p>
        </w:tc>
        <w:tc>
          <w:tcPr>
            <w:tcW w:w="5795" w:type="dxa"/>
            <w:vAlign w:val="center"/>
          </w:tcPr>
          <w:p>
            <w:pPr>
              <w:spacing w:line="240" w:lineRule="auto"/>
              <w:ind w:firstLine="0" w:firstLineChars="0"/>
              <w:rPr>
                <w:szCs w:val="21"/>
              </w:rPr>
            </w:pPr>
            <w:r>
              <w:rPr>
                <w:rFonts w:hint="eastAsia"/>
                <w:szCs w:val="21"/>
              </w:rPr>
              <w:t>4　路面结构及防排水</w:t>
            </w:r>
          </w:p>
        </w:tc>
        <w:tc>
          <w:tcPr>
            <w:tcW w:w="2092"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rFonts w:hint="eastAsia"/>
                <w:szCs w:val="21"/>
              </w:rPr>
              <w:t>4</w:t>
            </w:r>
          </w:p>
        </w:tc>
        <w:tc>
          <w:tcPr>
            <w:tcW w:w="5795" w:type="dxa"/>
            <w:vAlign w:val="center"/>
          </w:tcPr>
          <w:p>
            <w:pPr>
              <w:spacing w:line="240" w:lineRule="auto"/>
              <w:ind w:firstLine="0" w:firstLineChars="0"/>
              <w:rPr>
                <w:szCs w:val="21"/>
              </w:rPr>
            </w:pPr>
            <w:r>
              <w:rPr>
                <w:rFonts w:hint="eastAsia"/>
                <w:szCs w:val="21"/>
              </w:rPr>
              <w:t>4.1　路面结构</w:t>
            </w:r>
          </w:p>
        </w:tc>
        <w:tc>
          <w:tcPr>
            <w:tcW w:w="2092" w:type="dxa"/>
          </w:tcPr>
          <w:p>
            <w:pPr>
              <w:spacing w:line="240" w:lineRule="auto"/>
              <w:ind w:firstLine="0" w:firstLineChars="0"/>
              <w:jc w:val="center"/>
              <w:rPr>
                <w:szCs w:val="21"/>
              </w:rPr>
            </w:pPr>
            <w:r>
              <w:rPr>
                <w:szCs w:val="21"/>
              </w:rPr>
              <w:t>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5</w:t>
            </w:r>
          </w:p>
        </w:tc>
        <w:tc>
          <w:tcPr>
            <w:tcW w:w="5795" w:type="dxa"/>
            <w:vAlign w:val="center"/>
          </w:tcPr>
          <w:p>
            <w:pPr>
              <w:spacing w:line="240" w:lineRule="auto"/>
              <w:ind w:firstLine="0" w:firstLineChars="0"/>
              <w:rPr>
                <w:szCs w:val="21"/>
              </w:rPr>
            </w:pPr>
            <w:r>
              <w:rPr>
                <w:rFonts w:hint="eastAsia"/>
                <w:szCs w:val="21"/>
              </w:rPr>
              <w:t>4.2　防排水</w:t>
            </w:r>
          </w:p>
        </w:tc>
        <w:tc>
          <w:tcPr>
            <w:tcW w:w="2092" w:type="dxa"/>
          </w:tcPr>
          <w:p>
            <w:pPr>
              <w:spacing w:line="240" w:lineRule="auto"/>
              <w:ind w:firstLine="0" w:firstLineChars="0"/>
              <w:jc w:val="center"/>
              <w:rPr>
                <w:szCs w:val="21"/>
              </w:rPr>
            </w:pPr>
            <w:r>
              <w:rPr>
                <w:rFonts w:hint="eastAsia"/>
              </w:rPr>
              <w:t>杜镇宇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p>
        </w:tc>
        <w:tc>
          <w:tcPr>
            <w:tcW w:w="5795" w:type="dxa"/>
            <w:vAlign w:val="center"/>
          </w:tcPr>
          <w:p>
            <w:pPr>
              <w:spacing w:line="240" w:lineRule="auto"/>
              <w:ind w:firstLine="0" w:firstLineChars="0"/>
              <w:rPr>
                <w:szCs w:val="21"/>
              </w:rPr>
            </w:pPr>
            <w:r>
              <w:rPr>
                <w:rFonts w:hint="eastAsia"/>
                <w:szCs w:val="21"/>
              </w:rPr>
              <w:t xml:space="preserve">5 </w:t>
            </w:r>
            <w:r>
              <w:rPr>
                <w:szCs w:val="21"/>
              </w:rPr>
              <w:t>材料</w:t>
            </w:r>
          </w:p>
        </w:tc>
        <w:tc>
          <w:tcPr>
            <w:tcW w:w="2092"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6</w:t>
            </w:r>
          </w:p>
        </w:tc>
        <w:tc>
          <w:tcPr>
            <w:tcW w:w="5795" w:type="dxa"/>
            <w:vAlign w:val="center"/>
          </w:tcPr>
          <w:p>
            <w:pPr>
              <w:spacing w:line="240" w:lineRule="auto"/>
              <w:ind w:firstLine="0" w:firstLineChars="0"/>
              <w:rPr>
                <w:szCs w:val="21"/>
              </w:rPr>
            </w:pPr>
            <w:r>
              <w:rPr>
                <w:rFonts w:hint="eastAsia"/>
                <w:szCs w:val="21"/>
              </w:rPr>
              <w:t>5</w:t>
            </w:r>
            <w:r>
              <w:rPr>
                <w:szCs w:val="21"/>
              </w:rPr>
              <w:t>.1 一般规定</w:t>
            </w:r>
          </w:p>
        </w:tc>
        <w:tc>
          <w:tcPr>
            <w:tcW w:w="2092" w:type="dxa"/>
            <w:vAlign w:val="center"/>
          </w:tcPr>
          <w:p>
            <w:pPr>
              <w:spacing w:line="240" w:lineRule="auto"/>
              <w:ind w:firstLine="0" w:firstLineChars="0"/>
              <w:jc w:val="center"/>
              <w:rPr>
                <w:szCs w:val="21"/>
              </w:rPr>
            </w:pPr>
            <w:r>
              <w:rPr>
                <w:rFonts w:hint="eastAsia"/>
              </w:rPr>
              <w:t>李春洪、孙程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7</w:t>
            </w:r>
          </w:p>
        </w:tc>
        <w:tc>
          <w:tcPr>
            <w:tcW w:w="5795" w:type="dxa"/>
            <w:vAlign w:val="center"/>
          </w:tcPr>
          <w:p>
            <w:pPr>
              <w:spacing w:line="240" w:lineRule="auto"/>
              <w:ind w:firstLine="0" w:firstLineChars="0"/>
              <w:rPr>
                <w:szCs w:val="21"/>
              </w:rPr>
            </w:pPr>
            <w:r>
              <w:rPr>
                <w:rFonts w:hint="eastAsia"/>
                <w:szCs w:val="21"/>
              </w:rPr>
              <w:t>5</w:t>
            </w:r>
            <w:r>
              <w:rPr>
                <w:szCs w:val="21"/>
              </w:rPr>
              <w:t>.2 磷石膏</w:t>
            </w:r>
          </w:p>
        </w:tc>
        <w:tc>
          <w:tcPr>
            <w:tcW w:w="2092" w:type="dxa"/>
          </w:tcPr>
          <w:p>
            <w:pPr>
              <w:spacing w:line="240" w:lineRule="auto"/>
              <w:ind w:firstLine="0" w:firstLineChars="0"/>
              <w:jc w:val="center"/>
              <w:rPr>
                <w:szCs w:val="21"/>
              </w:rPr>
            </w:pPr>
            <w:r>
              <w:rPr>
                <w:szCs w:val="21"/>
              </w:rPr>
              <w:t>李军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8</w:t>
            </w:r>
          </w:p>
        </w:tc>
        <w:tc>
          <w:tcPr>
            <w:tcW w:w="5795" w:type="dxa"/>
            <w:vAlign w:val="center"/>
          </w:tcPr>
          <w:p>
            <w:pPr>
              <w:spacing w:line="240" w:lineRule="auto"/>
              <w:ind w:firstLine="0" w:firstLineChars="0"/>
              <w:rPr>
                <w:szCs w:val="21"/>
              </w:rPr>
            </w:pPr>
            <w:r>
              <w:rPr>
                <w:rFonts w:hint="eastAsia"/>
                <w:szCs w:val="21"/>
              </w:rPr>
              <w:t>5</w:t>
            </w:r>
            <w:r>
              <w:rPr>
                <w:szCs w:val="21"/>
              </w:rPr>
              <w:t>.3 水泥</w:t>
            </w:r>
          </w:p>
        </w:tc>
        <w:tc>
          <w:tcPr>
            <w:tcW w:w="2092" w:type="dxa"/>
          </w:tcPr>
          <w:p>
            <w:pPr>
              <w:spacing w:line="240" w:lineRule="auto"/>
              <w:ind w:firstLine="0" w:firstLineChars="0"/>
              <w:jc w:val="center"/>
              <w:rPr>
                <w:szCs w:val="21"/>
              </w:rPr>
            </w:pPr>
            <w:r>
              <w:rPr>
                <w:szCs w:val="21"/>
              </w:rPr>
              <w:t>付勇、刘禾培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9</w:t>
            </w:r>
          </w:p>
        </w:tc>
        <w:tc>
          <w:tcPr>
            <w:tcW w:w="5795" w:type="dxa"/>
            <w:vAlign w:val="center"/>
          </w:tcPr>
          <w:p>
            <w:pPr>
              <w:spacing w:line="240" w:lineRule="auto"/>
              <w:ind w:firstLine="0" w:firstLineChars="0"/>
              <w:rPr>
                <w:szCs w:val="21"/>
              </w:rPr>
            </w:pPr>
            <w:r>
              <w:rPr>
                <w:rFonts w:hint="eastAsia"/>
                <w:szCs w:val="21"/>
              </w:rPr>
              <w:t>5</w:t>
            </w:r>
            <w:r>
              <w:rPr>
                <w:szCs w:val="21"/>
              </w:rPr>
              <w:t>.4 固化剂</w:t>
            </w:r>
          </w:p>
        </w:tc>
        <w:tc>
          <w:tcPr>
            <w:tcW w:w="2092" w:type="dxa"/>
          </w:tcPr>
          <w:p>
            <w:pPr>
              <w:spacing w:line="240" w:lineRule="auto"/>
              <w:ind w:firstLine="0" w:firstLineChars="0"/>
              <w:jc w:val="center"/>
              <w:rPr>
                <w:szCs w:val="21"/>
              </w:rPr>
            </w:pPr>
            <w:r>
              <w:rPr>
                <w:szCs w:val="21"/>
              </w:rPr>
              <w:t>郑利平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10</w:t>
            </w:r>
          </w:p>
        </w:tc>
        <w:tc>
          <w:tcPr>
            <w:tcW w:w="5795" w:type="dxa"/>
            <w:vAlign w:val="center"/>
          </w:tcPr>
          <w:p>
            <w:pPr>
              <w:spacing w:line="240" w:lineRule="auto"/>
              <w:ind w:firstLine="0" w:firstLineChars="0"/>
              <w:rPr>
                <w:szCs w:val="21"/>
              </w:rPr>
            </w:pPr>
            <w:r>
              <w:rPr>
                <w:rFonts w:hint="eastAsia"/>
                <w:szCs w:val="21"/>
              </w:rPr>
              <w:t>5</w:t>
            </w:r>
            <w:r>
              <w:rPr>
                <w:szCs w:val="21"/>
              </w:rPr>
              <w:t>.5 集料</w:t>
            </w:r>
          </w:p>
        </w:tc>
        <w:tc>
          <w:tcPr>
            <w:tcW w:w="2092" w:type="dxa"/>
            <w:vAlign w:val="center"/>
          </w:tcPr>
          <w:p>
            <w:pPr>
              <w:spacing w:line="240" w:lineRule="auto"/>
              <w:ind w:firstLine="0" w:firstLineChars="0"/>
              <w:jc w:val="center"/>
              <w:rPr>
                <w:szCs w:val="21"/>
              </w:rPr>
            </w:pPr>
            <w:r>
              <w:rPr>
                <w:szCs w:val="21"/>
              </w:rPr>
              <w:t>王剑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11</w:t>
            </w:r>
          </w:p>
        </w:tc>
        <w:tc>
          <w:tcPr>
            <w:tcW w:w="5795" w:type="dxa"/>
            <w:vAlign w:val="center"/>
          </w:tcPr>
          <w:p>
            <w:pPr>
              <w:spacing w:line="240" w:lineRule="auto"/>
              <w:ind w:firstLine="0" w:firstLineChars="0"/>
              <w:rPr>
                <w:szCs w:val="21"/>
              </w:rPr>
            </w:pPr>
            <w:r>
              <w:rPr>
                <w:rFonts w:hint="eastAsia"/>
                <w:szCs w:val="21"/>
              </w:rPr>
              <w:t>5</w:t>
            </w:r>
            <w:r>
              <w:rPr>
                <w:szCs w:val="21"/>
              </w:rPr>
              <w:t>.6 水</w:t>
            </w:r>
          </w:p>
        </w:tc>
        <w:tc>
          <w:tcPr>
            <w:tcW w:w="2092" w:type="dxa"/>
          </w:tcPr>
          <w:p>
            <w:pPr>
              <w:spacing w:line="240" w:lineRule="auto"/>
              <w:ind w:firstLine="0" w:firstLineChars="0"/>
              <w:jc w:val="center"/>
              <w:rPr>
                <w:szCs w:val="21"/>
              </w:rPr>
            </w:pPr>
            <w:r>
              <w:rPr>
                <w:szCs w:val="21"/>
              </w:rPr>
              <w:t>吴志勇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p>
        </w:tc>
        <w:tc>
          <w:tcPr>
            <w:tcW w:w="5795" w:type="dxa"/>
            <w:vAlign w:val="center"/>
          </w:tcPr>
          <w:p>
            <w:pPr>
              <w:spacing w:line="240" w:lineRule="auto"/>
              <w:ind w:firstLine="0" w:firstLineChars="0"/>
              <w:rPr>
                <w:szCs w:val="21"/>
              </w:rPr>
            </w:pPr>
            <w:r>
              <w:rPr>
                <w:rFonts w:hint="eastAsia"/>
                <w:szCs w:val="21"/>
              </w:rPr>
              <w:t>6</w:t>
            </w:r>
            <w:r>
              <w:rPr>
                <w:szCs w:val="21"/>
              </w:rPr>
              <w:t xml:space="preserve"> 配合比设计</w:t>
            </w:r>
          </w:p>
        </w:tc>
        <w:tc>
          <w:tcPr>
            <w:tcW w:w="2092" w:type="dxa"/>
          </w:tcPr>
          <w:p>
            <w:pPr>
              <w:spacing w:line="240" w:lineRule="auto"/>
              <w:ind w:firstLine="0" w:firstLineChars="0"/>
              <w:jc w:val="center"/>
              <w:rPr>
                <w:szCs w:val="21"/>
              </w:rPr>
            </w:pPr>
            <w:r>
              <w:rPr>
                <w:szCs w:val="21"/>
              </w:rPr>
              <w:t>曹明明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12</w:t>
            </w:r>
          </w:p>
        </w:tc>
        <w:tc>
          <w:tcPr>
            <w:tcW w:w="5795" w:type="dxa"/>
            <w:vAlign w:val="center"/>
          </w:tcPr>
          <w:p>
            <w:pPr>
              <w:spacing w:line="240" w:lineRule="auto"/>
              <w:ind w:firstLine="0" w:firstLineChars="0"/>
              <w:rPr>
                <w:szCs w:val="21"/>
              </w:rPr>
            </w:pPr>
            <w:r>
              <w:rPr>
                <w:rFonts w:hint="eastAsia"/>
                <w:szCs w:val="21"/>
              </w:rPr>
              <w:t>6</w:t>
            </w:r>
            <w:r>
              <w:rPr>
                <w:szCs w:val="21"/>
              </w:rPr>
              <w:t>.1 一般规定</w:t>
            </w:r>
          </w:p>
        </w:tc>
        <w:tc>
          <w:tcPr>
            <w:tcW w:w="2092" w:type="dxa"/>
            <w:vAlign w:val="center"/>
          </w:tcPr>
          <w:p>
            <w:pPr>
              <w:spacing w:line="240" w:lineRule="auto"/>
              <w:ind w:firstLine="0" w:firstLineChars="0"/>
              <w:jc w:val="center"/>
              <w:rPr>
                <w:szCs w:val="21"/>
              </w:rPr>
            </w:pPr>
            <w:r>
              <w:rPr>
                <w:rFonts w:hint="eastAsia"/>
              </w:rPr>
              <w:t>李文旭、陈逍湘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13</w:t>
            </w:r>
          </w:p>
        </w:tc>
        <w:tc>
          <w:tcPr>
            <w:tcW w:w="5795" w:type="dxa"/>
            <w:vAlign w:val="center"/>
          </w:tcPr>
          <w:p>
            <w:pPr>
              <w:spacing w:line="240" w:lineRule="auto"/>
              <w:ind w:firstLine="0" w:firstLineChars="0"/>
              <w:rPr>
                <w:szCs w:val="21"/>
              </w:rPr>
            </w:pPr>
            <w:r>
              <w:rPr>
                <w:rFonts w:hint="eastAsia"/>
                <w:szCs w:val="21"/>
              </w:rPr>
              <w:t>6</w:t>
            </w:r>
            <w:r>
              <w:rPr>
                <w:szCs w:val="21"/>
              </w:rPr>
              <w:t>.2 强度要求</w:t>
            </w:r>
          </w:p>
        </w:tc>
        <w:tc>
          <w:tcPr>
            <w:tcW w:w="2092" w:type="dxa"/>
            <w:vAlign w:val="center"/>
          </w:tcPr>
          <w:p>
            <w:pPr>
              <w:spacing w:line="240" w:lineRule="auto"/>
              <w:ind w:firstLine="0" w:firstLineChars="0"/>
              <w:jc w:val="center"/>
              <w:rPr>
                <w:szCs w:val="21"/>
              </w:rPr>
            </w:pPr>
            <w:r>
              <w:rPr>
                <w:szCs w:val="21"/>
              </w:rPr>
              <w:t>左贵宁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14</w:t>
            </w:r>
          </w:p>
        </w:tc>
        <w:tc>
          <w:tcPr>
            <w:tcW w:w="5795" w:type="dxa"/>
            <w:vAlign w:val="center"/>
          </w:tcPr>
          <w:p>
            <w:pPr>
              <w:spacing w:line="240" w:lineRule="auto"/>
              <w:ind w:firstLine="0" w:firstLineChars="0"/>
              <w:rPr>
                <w:szCs w:val="21"/>
              </w:rPr>
            </w:pPr>
            <w:r>
              <w:rPr>
                <w:rFonts w:hint="eastAsia"/>
                <w:szCs w:val="21"/>
              </w:rPr>
              <w:t>6</w:t>
            </w:r>
            <w:r>
              <w:rPr>
                <w:szCs w:val="21"/>
              </w:rPr>
              <w:t>.3 配合比设计技术要求</w:t>
            </w:r>
          </w:p>
        </w:tc>
        <w:tc>
          <w:tcPr>
            <w:tcW w:w="2092" w:type="dxa"/>
          </w:tcPr>
          <w:p>
            <w:pPr>
              <w:spacing w:line="240" w:lineRule="auto"/>
              <w:ind w:firstLine="0" w:firstLineChars="0"/>
              <w:jc w:val="center"/>
              <w:rPr>
                <w:szCs w:val="21"/>
              </w:rPr>
            </w:pPr>
            <w:r>
              <w:rPr>
                <w:szCs w:val="21"/>
              </w:rPr>
              <w:t>苗春泽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15</w:t>
            </w:r>
          </w:p>
        </w:tc>
        <w:tc>
          <w:tcPr>
            <w:tcW w:w="5795" w:type="dxa"/>
            <w:vAlign w:val="center"/>
          </w:tcPr>
          <w:p>
            <w:pPr>
              <w:spacing w:line="240" w:lineRule="auto"/>
              <w:ind w:firstLine="0" w:firstLineChars="0"/>
              <w:rPr>
                <w:szCs w:val="21"/>
              </w:rPr>
            </w:pPr>
            <w:r>
              <w:rPr>
                <w:rFonts w:hint="eastAsia"/>
                <w:szCs w:val="21"/>
              </w:rPr>
              <w:t>6</w:t>
            </w:r>
            <w:r>
              <w:rPr>
                <w:szCs w:val="21"/>
              </w:rPr>
              <w:t xml:space="preserve">.4 </w:t>
            </w:r>
            <w:r>
              <w:rPr>
                <w:rFonts w:hint="eastAsia"/>
                <w:szCs w:val="21"/>
              </w:rPr>
              <w:t>环保要求</w:t>
            </w:r>
          </w:p>
        </w:tc>
        <w:tc>
          <w:tcPr>
            <w:tcW w:w="2092" w:type="dxa"/>
          </w:tcPr>
          <w:p>
            <w:pPr>
              <w:spacing w:line="240" w:lineRule="auto"/>
              <w:ind w:firstLine="0" w:firstLineChars="0"/>
              <w:jc w:val="center"/>
              <w:rPr>
                <w:szCs w:val="21"/>
              </w:rPr>
            </w:pPr>
            <w:r>
              <w:rPr>
                <w:szCs w:val="21"/>
              </w:rPr>
              <w:t>邓建波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16</w:t>
            </w:r>
          </w:p>
        </w:tc>
        <w:tc>
          <w:tcPr>
            <w:tcW w:w="5795" w:type="dxa"/>
            <w:vAlign w:val="center"/>
          </w:tcPr>
          <w:p>
            <w:pPr>
              <w:spacing w:line="240" w:lineRule="auto"/>
              <w:ind w:firstLine="0" w:firstLineChars="0"/>
              <w:rPr>
                <w:szCs w:val="21"/>
              </w:rPr>
            </w:pPr>
            <w:r>
              <w:rPr>
                <w:rFonts w:hint="eastAsia"/>
                <w:szCs w:val="21"/>
              </w:rPr>
              <w:t>6.5配合比设计流程</w:t>
            </w:r>
          </w:p>
        </w:tc>
        <w:tc>
          <w:tcPr>
            <w:tcW w:w="2092" w:type="dxa"/>
          </w:tcPr>
          <w:p>
            <w:pPr>
              <w:spacing w:line="240" w:lineRule="auto"/>
              <w:ind w:firstLine="0" w:firstLineChars="0"/>
              <w:jc w:val="center"/>
              <w:rPr>
                <w:szCs w:val="21"/>
              </w:rPr>
            </w:pPr>
            <w:r>
              <w:rPr>
                <w:szCs w:val="21"/>
              </w:rPr>
              <w:t>田陈燕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p>
        </w:tc>
        <w:tc>
          <w:tcPr>
            <w:tcW w:w="5795" w:type="dxa"/>
            <w:vAlign w:val="center"/>
          </w:tcPr>
          <w:p>
            <w:pPr>
              <w:spacing w:line="240" w:lineRule="auto"/>
              <w:ind w:firstLine="0" w:firstLineChars="0"/>
              <w:rPr>
                <w:szCs w:val="21"/>
              </w:rPr>
            </w:pPr>
            <w:r>
              <w:rPr>
                <w:rFonts w:hint="eastAsia"/>
                <w:szCs w:val="21"/>
              </w:rPr>
              <w:t>7</w:t>
            </w:r>
            <w:r>
              <w:rPr>
                <w:szCs w:val="21"/>
              </w:rPr>
              <w:t xml:space="preserve"> 施工</w:t>
            </w:r>
          </w:p>
        </w:tc>
        <w:tc>
          <w:tcPr>
            <w:tcW w:w="2092" w:type="dxa"/>
            <w:vAlign w:val="center"/>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17</w:t>
            </w:r>
          </w:p>
        </w:tc>
        <w:tc>
          <w:tcPr>
            <w:tcW w:w="5795" w:type="dxa"/>
            <w:vAlign w:val="center"/>
          </w:tcPr>
          <w:p>
            <w:pPr>
              <w:spacing w:line="240" w:lineRule="auto"/>
              <w:ind w:firstLine="0" w:firstLineChars="0"/>
              <w:rPr>
                <w:szCs w:val="21"/>
              </w:rPr>
            </w:pPr>
            <w:r>
              <w:rPr>
                <w:rFonts w:hint="eastAsia"/>
                <w:szCs w:val="21"/>
              </w:rPr>
              <w:t>7</w:t>
            </w:r>
            <w:r>
              <w:rPr>
                <w:szCs w:val="21"/>
              </w:rPr>
              <w:t>.1 一般规定</w:t>
            </w:r>
          </w:p>
        </w:tc>
        <w:tc>
          <w:tcPr>
            <w:tcW w:w="2092" w:type="dxa"/>
          </w:tcPr>
          <w:p>
            <w:pPr>
              <w:spacing w:line="240" w:lineRule="auto"/>
              <w:ind w:firstLine="0" w:firstLineChars="0"/>
              <w:jc w:val="center"/>
              <w:rPr>
                <w:szCs w:val="21"/>
              </w:rPr>
            </w:pPr>
            <w:r>
              <w:rPr>
                <w:szCs w:val="21"/>
              </w:rPr>
              <w:t>兰滔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18</w:t>
            </w:r>
          </w:p>
        </w:tc>
        <w:tc>
          <w:tcPr>
            <w:tcW w:w="5795" w:type="dxa"/>
            <w:vAlign w:val="center"/>
          </w:tcPr>
          <w:p>
            <w:pPr>
              <w:spacing w:line="240" w:lineRule="auto"/>
              <w:ind w:firstLine="0" w:firstLineChars="0"/>
              <w:rPr>
                <w:szCs w:val="21"/>
              </w:rPr>
            </w:pPr>
            <w:r>
              <w:rPr>
                <w:rFonts w:hint="eastAsia"/>
                <w:szCs w:val="21"/>
              </w:rPr>
              <w:t>7</w:t>
            </w:r>
            <w:r>
              <w:rPr>
                <w:szCs w:val="21"/>
              </w:rPr>
              <w:t>.2 施工设备要求</w:t>
            </w:r>
          </w:p>
        </w:tc>
        <w:tc>
          <w:tcPr>
            <w:tcW w:w="2092" w:type="dxa"/>
          </w:tcPr>
          <w:p>
            <w:pPr>
              <w:spacing w:line="240" w:lineRule="auto"/>
              <w:ind w:firstLine="0" w:firstLineChars="0"/>
              <w:jc w:val="center"/>
              <w:rPr>
                <w:szCs w:val="21"/>
              </w:rPr>
            </w:pPr>
            <w:r>
              <w:rPr>
                <w:szCs w:val="21"/>
              </w:rPr>
              <w:t>杜镇宇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19</w:t>
            </w:r>
          </w:p>
        </w:tc>
        <w:tc>
          <w:tcPr>
            <w:tcW w:w="5795" w:type="dxa"/>
            <w:vAlign w:val="center"/>
          </w:tcPr>
          <w:p>
            <w:pPr>
              <w:spacing w:line="240" w:lineRule="auto"/>
              <w:ind w:firstLine="0" w:firstLineChars="0"/>
              <w:rPr>
                <w:szCs w:val="21"/>
              </w:rPr>
            </w:pPr>
            <w:r>
              <w:rPr>
                <w:rFonts w:hint="eastAsia"/>
                <w:szCs w:val="21"/>
              </w:rPr>
              <w:t>7</w:t>
            </w:r>
            <w:r>
              <w:rPr>
                <w:szCs w:val="21"/>
              </w:rPr>
              <w:t xml:space="preserve">.3 </w:t>
            </w:r>
            <w:r>
              <w:rPr>
                <w:rFonts w:hint="eastAsia"/>
                <w:szCs w:val="21"/>
              </w:rPr>
              <w:t>原材料</w:t>
            </w:r>
            <w:r>
              <w:rPr>
                <w:szCs w:val="21"/>
              </w:rPr>
              <w:t>加工和存放</w:t>
            </w:r>
          </w:p>
        </w:tc>
        <w:tc>
          <w:tcPr>
            <w:tcW w:w="2092" w:type="dxa"/>
          </w:tcPr>
          <w:p>
            <w:pPr>
              <w:spacing w:line="240" w:lineRule="auto"/>
              <w:ind w:firstLine="0" w:firstLineChars="0"/>
              <w:jc w:val="center"/>
              <w:rPr>
                <w:szCs w:val="21"/>
              </w:rPr>
            </w:pPr>
            <w:r>
              <w:rPr>
                <w:szCs w:val="21"/>
              </w:rPr>
              <w:t>王睿麟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20</w:t>
            </w:r>
          </w:p>
        </w:tc>
        <w:tc>
          <w:tcPr>
            <w:tcW w:w="5795" w:type="dxa"/>
            <w:vAlign w:val="center"/>
          </w:tcPr>
          <w:p>
            <w:pPr>
              <w:spacing w:line="240" w:lineRule="auto"/>
              <w:ind w:firstLine="0" w:firstLineChars="0"/>
              <w:rPr>
                <w:szCs w:val="21"/>
              </w:rPr>
            </w:pPr>
            <w:r>
              <w:rPr>
                <w:rFonts w:hint="eastAsia"/>
                <w:szCs w:val="21"/>
              </w:rPr>
              <w:t>7</w:t>
            </w:r>
            <w:r>
              <w:rPr>
                <w:szCs w:val="21"/>
              </w:rPr>
              <w:t>.4 拌和</w:t>
            </w:r>
          </w:p>
        </w:tc>
        <w:tc>
          <w:tcPr>
            <w:tcW w:w="2092" w:type="dxa"/>
          </w:tcPr>
          <w:p>
            <w:pPr>
              <w:spacing w:line="240" w:lineRule="auto"/>
              <w:ind w:firstLine="0" w:firstLineChars="0"/>
              <w:jc w:val="center"/>
              <w:rPr>
                <w:szCs w:val="21"/>
              </w:rPr>
            </w:pPr>
            <w:r>
              <w:rPr>
                <w:rFonts w:hint="eastAsia"/>
              </w:rPr>
              <w:t>秦书丹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21</w:t>
            </w:r>
          </w:p>
        </w:tc>
        <w:tc>
          <w:tcPr>
            <w:tcW w:w="5795" w:type="dxa"/>
            <w:vAlign w:val="center"/>
          </w:tcPr>
          <w:p>
            <w:pPr>
              <w:spacing w:line="240" w:lineRule="auto"/>
              <w:ind w:firstLine="0" w:firstLineChars="0"/>
              <w:rPr>
                <w:szCs w:val="21"/>
              </w:rPr>
            </w:pPr>
            <w:r>
              <w:rPr>
                <w:rFonts w:hint="eastAsia"/>
                <w:szCs w:val="21"/>
              </w:rPr>
              <w:t>7</w:t>
            </w:r>
            <w:r>
              <w:rPr>
                <w:szCs w:val="21"/>
              </w:rPr>
              <w:t>.5 运输</w:t>
            </w:r>
          </w:p>
        </w:tc>
        <w:tc>
          <w:tcPr>
            <w:tcW w:w="2092" w:type="dxa"/>
          </w:tcPr>
          <w:p>
            <w:pPr>
              <w:spacing w:line="240" w:lineRule="auto"/>
              <w:ind w:firstLine="0" w:firstLineChars="0"/>
              <w:jc w:val="center"/>
              <w:rPr>
                <w:szCs w:val="21"/>
              </w:rPr>
            </w:pPr>
            <w:r>
              <w:rPr>
                <w:szCs w:val="21"/>
              </w:rPr>
              <w:t>曹磊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22</w:t>
            </w:r>
          </w:p>
        </w:tc>
        <w:tc>
          <w:tcPr>
            <w:tcW w:w="5795" w:type="dxa"/>
            <w:vAlign w:val="center"/>
          </w:tcPr>
          <w:p>
            <w:pPr>
              <w:spacing w:line="240" w:lineRule="auto"/>
              <w:ind w:firstLine="0" w:firstLineChars="0"/>
              <w:rPr>
                <w:szCs w:val="21"/>
              </w:rPr>
            </w:pPr>
            <w:r>
              <w:rPr>
                <w:rFonts w:hint="eastAsia"/>
                <w:szCs w:val="21"/>
              </w:rPr>
              <w:t>7</w:t>
            </w:r>
            <w:r>
              <w:rPr>
                <w:szCs w:val="21"/>
              </w:rPr>
              <w:t>.6 摊铺</w:t>
            </w:r>
          </w:p>
        </w:tc>
        <w:tc>
          <w:tcPr>
            <w:tcW w:w="2092" w:type="dxa"/>
          </w:tcPr>
          <w:p>
            <w:pPr>
              <w:spacing w:line="240" w:lineRule="auto"/>
              <w:ind w:firstLine="0" w:firstLineChars="0"/>
              <w:jc w:val="center"/>
              <w:rPr>
                <w:szCs w:val="21"/>
              </w:rPr>
            </w:pPr>
            <w:r>
              <w:rPr>
                <w:szCs w:val="21"/>
              </w:rPr>
              <w:t>利璐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23</w:t>
            </w:r>
          </w:p>
        </w:tc>
        <w:tc>
          <w:tcPr>
            <w:tcW w:w="5795" w:type="dxa"/>
            <w:vAlign w:val="center"/>
          </w:tcPr>
          <w:p>
            <w:pPr>
              <w:spacing w:line="240" w:lineRule="auto"/>
              <w:ind w:firstLine="0" w:firstLineChars="0"/>
              <w:rPr>
                <w:szCs w:val="21"/>
              </w:rPr>
            </w:pPr>
            <w:r>
              <w:rPr>
                <w:rFonts w:hint="eastAsia"/>
                <w:szCs w:val="21"/>
              </w:rPr>
              <w:t>7</w:t>
            </w:r>
            <w:r>
              <w:rPr>
                <w:szCs w:val="21"/>
              </w:rPr>
              <w:t>.7 碾压</w:t>
            </w:r>
          </w:p>
        </w:tc>
        <w:tc>
          <w:tcPr>
            <w:tcW w:w="2092" w:type="dxa"/>
            <w:vAlign w:val="center"/>
          </w:tcPr>
          <w:p>
            <w:pPr>
              <w:spacing w:line="240" w:lineRule="auto"/>
              <w:ind w:firstLine="0" w:firstLineChars="0"/>
              <w:jc w:val="center"/>
            </w:pPr>
            <w:r>
              <w:t>施念成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rFonts w:hint="eastAsia"/>
                <w:szCs w:val="21"/>
              </w:rPr>
              <w:t>24</w:t>
            </w:r>
          </w:p>
        </w:tc>
        <w:tc>
          <w:tcPr>
            <w:tcW w:w="5795" w:type="dxa"/>
            <w:vAlign w:val="center"/>
          </w:tcPr>
          <w:p>
            <w:pPr>
              <w:spacing w:line="240" w:lineRule="auto"/>
              <w:ind w:firstLine="0" w:firstLineChars="0"/>
              <w:rPr>
                <w:szCs w:val="21"/>
              </w:rPr>
            </w:pPr>
            <w:r>
              <w:rPr>
                <w:rFonts w:hint="eastAsia"/>
                <w:szCs w:val="21"/>
              </w:rPr>
              <w:t>7</w:t>
            </w:r>
            <w:r>
              <w:rPr>
                <w:szCs w:val="21"/>
              </w:rPr>
              <w:t>.8 养生</w:t>
            </w:r>
          </w:p>
        </w:tc>
        <w:tc>
          <w:tcPr>
            <w:tcW w:w="2092" w:type="dxa"/>
            <w:vAlign w:val="center"/>
          </w:tcPr>
          <w:p>
            <w:pPr>
              <w:spacing w:line="240" w:lineRule="auto"/>
              <w:ind w:firstLine="0" w:firstLineChars="0"/>
              <w:jc w:val="center"/>
            </w:pPr>
            <w:r>
              <w:rPr>
                <w:rFonts w:hint="eastAsia"/>
                <w:szCs w:val="21"/>
              </w:rPr>
              <w:t>吴建新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rFonts w:hint="eastAsia"/>
                <w:szCs w:val="21"/>
              </w:rPr>
              <w:t>25</w:t>
            </w:r>
          </w:p>
        </w:tc>
        <w:tc>
          <w:tcPr>
            <w:tcW w:w="5795" w:type="dxa"/>
            <w:vAlign w:val="center"/>
          </w:tcPr>
          <w:p>
            <w:pPr>
              <w:spacing w:line="240" w:lineRule="auto"/>
              <w:ind w:firstLine="0" w:firstLineChars="0"/>
              <w:rPr>
                <w:szCs w:val="21"/>
              </w:rPr>
            </w:pPr>
            <w:r>
              <w:rPr>
                <w:rFonts w:hint="eastAsia"/>
                <w:szCs w:val="21"/>
              </w:rPr>
              <w:t>7.9 水泥稳定磷石膏层收缩裂缝的处理</w:t>
            </w:r>
          </w:p>
        </w:tc>
        <w:tc>
          <w:tcPr>
            <w:tcW w:w="2092" w:type="dxa"/>
            <w:vAlign w:val="center"/>
          </w:tcPr>
          <w:p>
            <w:pPr>
              <w:spacing w:line="240" w:lineRule="auto"/>
              <w:ind w:firstLine="0" w:firstLineChars="0"/>
              <w:jc w:val="center"/>
              <w:rPr>
                <w:szCs w:val="21"/>
              </w:rPr>
            </w:pPr>
            <w:r>
              <w:rPr>
                <w:rFonts w:hint="eastAsia"/>
                <w:szCs w:val="21"/>
              </w:rPr>
              <w:t>吴建新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p>
        </w:tc>
        <w:tc>
          <w:tcPr>
            <w:tcW w:w="5795" w:type="dxa"/>
            <w:vAlign w:val="center"/>
          </w:tcPr>
          <w:p>
            <w:pPr>
              <w:spacing w:line="240" w:lineRule="auto"/>
              <w:ind w:firstLine="0" w:firstLineChars="0"/>
              <w:rPr>
                <w:szCs w:val="21"/>
              </w:rPr>
            </w:pPr>
            <w:r>
              <w:rPr>
                <w:rFonts w:hint="eastAsia"/>
                <w:szCs w:val="21"/>
              </w:rPr>
              <w:t>8</w:t>
            </w:r>
            <w:r>
              <w:rPr>
                <w:szCs w:val="21"/>
              </w:rPr>
              <w:t xml:space="preserve"> 施工质量管理与检查验收</w:t>
            </w:r>
          </w:p>
        </w:tc>
        <w:tc>
          <w:tcPr>
            <w:tcW w:w="2092" w:type="dxa"/>
            <w:vAlign w:val="center"/>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26</w:t>
            </w:r>
          </w:p>
        </w:tc>
        <w:tc>
          <w:tcPr>
            <w:tcW w:w="5795" w:type="dxa"/>
            <w:vAlign w:val="center"/>
          </w:tcPr>
          <w:p>
            <w:pPr>
              <w:spacing w:line="240" w:lineRule="auto"/>
              <w:ind w:firstLine="0" w:firstLineChars="0"/>
              <w:rPr>
                <w:szCs w:val="21"/>
              </w:rPr>
            </w:pPr>
            <w:r>
              <w:rPr>
                <w:rFonts w:hint="eastAsia"/>
                <w:szCs w:val="21"/>
              </w:rPr>
              <w:t>8</w:t>
            </w:r>
            <w:r>
              <w:rPr>
                <w:szCs w:val="21"/>
              </w:rPr>
              <w:t>.1 原材料</w:t>
            </w:r>
            <w:r>
              <w:rPr>
                <w:rFonts w:hint="eastAsia"/>
                <w:szCs w:val="21"/>
              </w:rPr>
              <w:t>质量检查</w:t>
            </w:r>
          </w:p>
        </w:tc>
        <w:tc>
          <w:tcPr>
            <w:tcW w:w="2092" w:type="dxa"/>
            <w:vAlign w:val="center"/>
          </w:tcPr>
          <w:p>
            <w:pPr>
              <w:spacing w:line="240" w:lineRule="auto"/>
              <w:ind w:firstLine="0" w:firstLineChars="0"/>
              <w:jc w:val="center"/>
              <w:rPr>
                <w:szCs w:val="21"/>
              </w:rPr>
            </w:pPr>
            <w:r>
              <w:rPr>
                <w:szCs w:val="21"/>
              </w:rPr>
              <w:t>陈军、楚佳元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27</w:t>
            </w:r>
          </w:p>
        </w:tc>
        <w:tc>
          <w:tcPr>
            <w:tcW w:w="5795" w:type="dxa"/>
            <w:vAlign w:val="center"/>
          </w:tcPr>
          <w:p>
            <w:pPr>
              <w:spacing w:line="240" w:lineRule="auto"/>
              <w:ind w:firstLine="0" w:firstLineChars="0"/>
              <w:rPr>
                <w:szCs w:val="21"/>
              </w:rPr>
            </w:pPr>
            <w:r>
              <w:rPr>
                <w:rFonts w:hint="eastAsia"/>
                <w:szCs w:val="21"/>
              </w:rPr>
              <w:t>8</w:t>
            </w:r>
            <w:r>
              <w:rPr>
                <w:szCs w:val="21"/>
              </w:rPr>
              <w:t>.2施工过程</w:t>
            </w:r>
            <w:r>
              <w:rPr>
                <w:rFonts w:hint="eastAsia"/>
                <w:szCs w:val="21"/>
              </w:rPr>
              <w:t>质量检查</w:t>
            </w:r>
          </w:p>
        </w:tc>
        <w:tc>
          <w:tcPr>
            <w:tcW w:w="2092" w:type="dxa"/>
          </w:tcPr>
          <w:p>
            <w:pPr>
              <w:spacing w:line="240" w:lineRule="auto"/>
              <w:ind w:firstLine="0" w:firstLineChars="0"/>
              <w:jc w:val="center"/>
              <w:rPr>
                <w:szCs w:val="21"/>
              </w:rPr>
            </w:pPr>
            <w:r>
              <w:rPr>
                <w:szCs w:val="21"/>
              </w:rPr>
              <w:t>曹明明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rFonts w:hint="eastAsia"/>
                <w:szCs w:val="21"/>
              </w:rPr>
              <w:t>28</w:t>
            </w:r>
          </w:p>
        </w:tc>
        <w:tc>
          <w:tcPr>
            <w:tcW w:w="5795" w:type="dxa"/>
            <w:vAlign w:val="center"/>
          </w:tcPr>
          <w:p>
            <w:pPr>
              <w:spacing w:line="240" w:lineRule="auto"/>
              <w:ind w:firstLine="0" w:firstLineChars="0"/>
              <w:rPr>
                <w:szCs w:val="21"/>
              </w:rPr>
            </w:pPr>
            <w:r>
              <w:rPr>
                <w:rFonts w:hint="eastAsia"/>
                <w:szCs w:val="21"/>
              </w:rPr>
              <w:t>8</w:t>
            </w:r>
            <w:r>
              <w:rPr>
                <w:szCs w:val="21"/>
              </w:rPr>
              <w:t xml:space="preserve">.3 </w:t>
            </w:r>
            <w:r>
              <w:rPr>
                <w:rFonts w:hint="eastAsia"/>
                <w:szCs w:val="21"/>
              </w:rPr>
              <w:t>质量检验</w:t>
            </w:r>
          </w:p>
        </w:tc>
        <w:tc>
          <w:tcPr>
            <w:tcW w:w="2092" w:type="dxa"/>
          </w:tcPr>
          <w:p>
            <w:pPr>
              <w:spacing w:line="240" w:lineRule="auto"/>
              <w:ind w:firstLine="0" w:firstLineChars="0"/>
              <w:jc w:val="center"/>
              <w:rPr>
                <w:szCs w:val="21"/>
              </w:rPr>
            </w:pPr>
            <w:r>
              <w:rPr>
                <w:szCs w:val="21"/>
              </w:rPr>
              <w:t>桂骁、王庆远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28</w:t>
            </w:r>
          </w:p>
        </w:tc>
        <w:tc>
          <w:tcPr>
            <w:tcW w:w="5795" w:type="dxa"/>
            <w:vAlign w:val="center"/>
          </w:tcPr>
          <w:p>
            <w:pPr>
              <w:spacing w:line="240" w:lineRule="auto"/>
              <w:ind w:firstLine="0" w:firstLineChars="0"/>
              <w:rPr>
                <w:szCs w:val="21"/>
              </w:rPr>
            </w:pPr>
            <w:r>
              <w:rPr>
                <w:rFonts w:hint="eastAsia"/>
                <w:szCs w:val="21"/>
              </w:rPr>
              <w:t>9</w:t>
            </w:r>
            <w:r>
              <w:rPr>
                <w:szCs w:val="21"/>
              </w:rPr>
              <w:t xml:space="preserve"> 环境质量检测与监测</w:t>
            </w:r>
          </w:p>
        </w:tc>
        <w:tc>
          <w:tcPr>
            <w:tcW w:w="2092" w:type="dxa"/>
          </w:tcPr>
          <w:p>
            <w:pPr>
              <w:spacing w:line="240" w:lineRule="auto"/>
              <w:ind w:firstLine="0" w:firstLineChars="0"/>
              <w:jc w:val="center"/>
              <w:rPr>
                <w:szCs w:val="21"/>
              </w:rPr>
            </w:pPr>
            <w:r>
              <w:rPr>
                <w:szCs w:val="21"/>
              </w:rPr>
              <w:t>刘禾培、潘远梅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29</w:t>
            </w:r>
          </w:p>
        </w:tc>
        <w:tc>
          <w:tcPr>
            <w:tcW w:w="5795" w:type="dxa"/>
            <w:vAlign w:val="center"/>
          </w:tcPr>
          <w:p>
            <w:pPr>
              <w:spacing w:line="240" w:lineRule="auto"/>
              <w:ind w:firstLine="0" w:firstLineChars="0"/>
              <w:rPr>
                <w:szCs w:val="21"/>
              </w:rPr>
            </w:pPr>
            <w:r>
              <w:rPr>
                <w:szCs w:val="21"/>
              </w:rPr>
              <w:t>附件A干湿循环强度试验方法</w:t>
            </w:r>
          </w:p>
        </w:tc>
        <w:tc>
          <w:tcPr>
            <w:tcW w:w="2092" w:type="dxa"/>
            <w:vAlign w:val="center"/>
          </w:tcPr>
          <w:p>
            <w:pPr>
              <w:spacing w:line="240" w:lineRule="auto"/>
              <w:ind w:firstLine="0" w:firstLineChars="0"/>
              <w:jc w:val="center"/>
              <w:rPr>
                <w:szCs w:val="21"/>
              </w:rPr>
            </w:pPr>
            <w:r>
              <w:rPr>
                <w:szCs w:val="21"/>
              </w:rPr>
              <w:t>耿向永、卢巧丽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30</w:t>
            </w:r>
          </w:p>
        </w:tc>
        <w:tc>
          <w:tcPr>
            <w:tcW w:w="5795" w:type="dxa"/>
            <w:vAlign w:val="center"/>
          </w:tcPr>
          <w:p>
            <w:pPr>
              <w:spacing w:line="240" w:lineRule="auto"/>
              <w:ind w:firstLine="0" w:firstLineChars="0"/>
              <w:rPr>
                <w:szCs w:val="21"/>
              </w:rPr>
            </w:pPr>
            <w:r>
              <w:rPr>
                <w:szCs w:val="21"/>
              </w:rPr>
              <w:t>附件B水稳定性系数试验</w:t>
            </w:r>
          </w:p>
        </w:tc>
        <w:tc>
          <w:tcPr>
            <w:tcW w:w="2092" w:type="dxa"/>
            <w:vAlign w:val="center"/>
          </w:tcPr>
          <w:p>
            <w:pPr>
              <w:spacing w:line="240" w:lineRule="auto"/>
              <w:ind w:firstLine="0" w:firstLineChars="0"/>
              <w:jc w:val="center"/>
              <w:rPr>
                <w:szCs w:val="21"/>
              </w:rPr>
            </w:pPr>
            <w:r>
              <w:rPr>
                <w:szCs w:val="21"/>
              </w:rPr>
              <w:t>黄晚清</w:t>
            </w:r>
          </w:p>
        </w:tc>
      </w:tr>
    </w:tbl>
    <w:p>
      <w:pPr>
        <w:ind w:firstLine="0" w:firstLineChars="0"/>
        <w:jc w:val="left"/>
        <w:outlineLvl w:val="0"/>
        <w:rPr>
          <w:rFonts w:eastAsia="黑体"/>
          <w:sz w:val="28"/>
          <w:szCs w:val="28"/>
        </w:rPr>
      </w:pPr>
      <w:bookmarkStart w:id="6" w:name="_Toc420162860"/>
      <w:bookmarkStart w:id="7" w:name="_Toc178885874"/>
      <w:r>
        <w:rPr>
          <w:rFonts w:eastAsia="黑体"/>
          <w:sz w:val="28"/>
          <w:szCs w:val="28"/>
        </w:rPr>
        <w:t xml:space="preserve">2 </w:t>
      </w:r>
      <w:bookmarkEnd w:id="6"/>
      <w:r>
        <w:rPr>
          <w:rFonts w:eastAsia="黑体"/>
          <w:sz w:val="28"/>
          <w:szCs w:val="28"/>
        </w:rPr>
        <w:t>制定标准的必要性和意义</w:t>
      </w:r>
      <w:bookmarkEnd w:id="7"/>
    </w:p>
    <w:p>
      <w:pPr>
        <w:ind w:firstLine="480"/>
      </w:pPr>
      <w:r>
        <w:t>《交通运输部关于全面加强生态环境保护坚决打好污染防治攻坚战的实施意见》中明确指出：“坚持人与自然和谐共生、坚持绿水青山就是金山银山、坚持良好生态环境是最普惠的民生福祉、坚持山水林田湖草是生命共同体、坚持用最严格制度最严密法治保护生态环境、坚持共谋全球生态文明建设，推动交通运输转型升级，提质增效，加快形成节约资源和保护环境的空间格局、产业结构、生产方式、生活方式，推进交通运输生态文明建设取得新成效，更好地服务交通强国和美丽中国建设”。我省也积极响应国家政策，先后成立了天府永兴实验室、四川低碳交通研究中心等平台，聚焦于绿色低碳交通发展，积极探索固废等材料的高质化、高效化、无害化利用。而磷石膏呈酸性，其 PH 值约为1.3~4.7，具有一定的腐蚀性，故大量堆积的磷石膏不仅会导致环境土壤的污染浪费，并且材料中的有害物质亦会影响周围居民的居住环境。如何提高磷石膏的综合利用率，打造资源节约型、环境友好型社会，实现可持续发展显得尤为必要。</w:t>
      </w:r>
    </w:p>
    <w:p>
      <w:pPr>
        <w:ind w:firstLine="480"/>
      </w:pPr>
      <w:r>
        <w:t>虽然国内外学者对磷石膏材料的综合利用途径进行了积极探索，在一些领域取得了众多研究成果，但多作为一些辅料掺入其他材料中制作水泥、石膏等材料，掺配比例低，施工不便，实用价值有限，磷石膏综合利用率整体偏低，同时受制于现有化工厂中的磷石膏品质层次不齐或稳定性差等因素，导致磷石膏材料的综合利用规模和附加值均较低，限制了磷石膏应用于对道路材料稳定性要求相对较高的公路路面基层。如何通过磷石膏材料的改性或固化剂等外掺剂的加入提高磷石膏基层的掺量和混合料的路用性能，且具有一定的经济效益，以提高磷石膏在公路路面基层中示范应用的价值显得尤为必要。</w:t>
      </w:r>
    </w:p>
    <w:p>
      <w:pPr>
        <w:ind w:firstLine="480"/>
      </w:pPr>
      <w:r>
        <w:t>目前，磷石膏在公路路面基层中应用的交通行业案例和标准均较为缺乏，中国建筑材料协会于2021年11月发布了相关的团体标准《公路路面基层用磷石膏矿渣水泥稳定材料应用技术规程》（TCCPA 26-2021），磷石膏产生大省湖北省发布了地方标准《公路磷石膏复合稳定基层材料应用技术规程》（DB42/T 1991-2023）；近期中国公路学会发布了团体标准《公路水泥稳定磷石膏基层施工技术规范》（T/CHTS 10100-2013），但在掺加碎石的水泥稳定磷石膏混合料级配组成、施工工艺方面还需进一步细化。但是，作为磷石膏产出大省之一的我省目前并没有针对磷石膏在道路基层中的应用进行一定的探索研究，尚未查阅到的出台的相关政策或标准，限制了磷石膏在我省公路路面基层中的推广应用，缺乏长久有效的利用机制。通过对磷石膏在公路路面基层中的应用研究建立相关的标准或为政策的出台提供依据和基础数据显得尤为重要。</w:t>
      </w:r>
    </w:p>
    <w:p>
      <w:pPr>
        <w:ind w:firstLine="480"/>
      </w:pPr>
      <w:r>
        <w:rPr>
          <w:rFonts w:hint="eastAsia"/>
        </w:rPr>
        <w:t>水泥稳定磷石膏基层在湖北、四川达州等地已有一定的应用，原发布的本规范在应用过程中发现存在一定的遗漏，且原规范应用一年来，部分技术出现了明显的进步。因此，</w:t>
      </w:r>
      <w:r>
        <w:t>结合四川省达州市公路实际情况，</w:t>
      </w:r>
      <w:r>
        <w:rPr>
          <w:rFonts w:hint="eastAsia"/>
        </w:rPr>
        <w:t>本次修订进一步完善了相关内容，规范了水泥稳定磷石膏基层应用在达州市公路路面建设中的应用。</w:t>
      </w:r>
    </w:p>
    <w:p>
      <w:pPr>
        <w:ind w:firstLine="0" w:firstLineChars="0"/>
        <w:jc w:val="left"/>
        <w:outlineLvl w:val="0"/>
        <w:rPr>
          <w:rFonts w:eastAsia="黑体"/>
          <w:sz w:val="28"/>
          <w:szCs w:val="28"/>
        </w:rPr>
      </w:pPr>
      <w:bookmarkStart w:id="8" w:name="_Toc181369577"/>
      <w:bookmarkStart w:id="9" w:name="_Toc178885875"/>
      <w:r>
        <w:rPr>
          <w:rFonts w:eastAsia="黑体"/>
          <w:sz w:val="28"/>
          <w:szCs w:val="28"/>
        </w:rPr>
        <w:t>3</w:t>
      </w:r>
      <w:bookmarkEnd w:id="8"/>
      <w:r>
        <w:rPr>
          <w:rFonts w:eastAsia="黑体"/>
          <w:sz w:val="28"/>
          <w:szCs w:val="28"/>
        </w:rPr>
        <w:t>主要工作过程</w:t>
      </w:r>
      <w:bookmarkEnd w:id="9"/>
    </w:p>
    <w:p>
      <w:pPr>
        <w:ind w:firstLine="480"/>
      </w:pPr>
      <w:r>
        <w:t>具体工作计划如下：</w:t>
      </w:r>
    </w:p>
    <w:p>
      <w:pPr>
        <w:ind w:firstLine="480"/>
      </w:pPr>
      <w:r>
        <w:t>202</w:t>
      </w:r>
      <w:r>
        <w:rPr>
          <w:rFonts w:hint="eastAsia"/>
        </w:rPr>
        <w:t>4</w:t>
      </w:r>
      <w:r>
        <w:t>年4月，形成编制地标意向，拟定地标研究方向重点，编写</w:t>
      </w:r>
      <w:r>
        <w:rPr>
          <w:rFonts w:hint="eastAsia"/>
        </w:rPr>
        <w:t>修订</w:t>
      </w:r>
      <w:r>
        <w:t>申报书。</w:t>
      </w:r>
    </w:p>
    <w:p>
      <w:pPr>
        <w:ind w:firstLine="480"/>
      </w:pPr>
      <w:r>
        <w:t>202</w:t>
      </w:r>
      <w:r>
        <w:rPr>
          <w:rFonts w:hint="eastAsia"/>
        </w:rPr>
        <w:t>4</w:t>
      </w:r>
      <w:r>
        <w:t>年5月~</w:t>
      </w:r>
      <w:r>
        <w:rPr>
          <w:rFonts w:hint="eastAsia"/>
        </w:rPr>
        <w:t>7</w:t>
      </w:r>
      <w:r>
        <w:t>月，完成《规范》</w:t>
      </w:r>
      <w:r>
        <w:rPr>
          <w:rFonts w:hint="eastAsia"/>
        </w:rPr>
        <w:t>（修订稿）</w:t>
      </w:r>
      <w:r>
        <w:t>初稿。</w:t>
      </w:r>
    </w:p>
    <w:p>
      <w:pPr>
        <w:ind w:firstLine="480"/>
      </w:pPr>
      <w:r>
        <w:t>202</w:t>
      </w:r>
      <w:r>
        <w:rPr>
          <w:rFonts w:hint="eastAsia"/>
        </w:rPr>
        <w:t>4</w:t>
      </w:r>
      <w:r>
        <w:t>年</w:t>
      </w:r>
      <w:r>
        <w:rPr>
          <w:rFonts w:hint="eastAsia"/>
        </w:rPr>
        <w:t>8</w:t>
      </w:r>
      <w:r>
        <w:t>月~</w:t>
      </w:r>
      <w:r>
        <w:rPr>
          <w:rFonts w:hint="eastAsia"/>
        </w:rPr>
        <w:t>9</w:t>
      </w:r>
      <w:r>
        <w:t>月</w:t>
      </w:r>
      <w:r>
        <w:rPr>
          <w:rFonts w:hint="eastAsia"/>
        </w:rPr>
        <w:t>，邀请相关专家进行指导</w:t>
      </w:r>
      <w:r>
        <w:t>，并进一步对规范进行修订。</w:t>
      </w:r>
    </w:p>
    <w:p>
      <w:pPr>
        <w:ind w:firstLine="480"/>
      </w:pPr>
      <w:r>
        <w:t>202</w:t>
      </w:r>
      <w:r>
        <w:rPr>
          <w:rFonts w:hint="eastAsia"/>
        </w:rPr>
        <w:t>4</w:t>
      </w:r>
      <w:r>
        <w:t>年</w:t>
      </w:r>
      <w:r>
        <w:rPr>
          <w:rFonts w:hint="eastAsia"/>
        </w:rPr>
        <w:t>10</w:t>
      </w:r>
      <w:r>
        <w:t>月~</w:t>
      </w:r>
      <w:r>
        <w:rPr>
          <w:rFonts w:hint="eastAsia"/>
        </w:rPr>
        <w:t>11</w:t>
      </w:r>
      <w:r>
        <w:t>月，征求社会意见，并进一步对规范进行修订。</w:t>
      </w:r>
    </w:p>
    <w:p>
      <w:pPr>
        <w:ind w:firstLine="480"/>
      </w:pPr>
      <w:r>
        <w:t>202</w:t>
      </w:r>
      <w:r>
        <w:rPr>
          <w:rFonts w:hint="eastAsia"/>
        </w:rPr>
        <w:t>4</w:t>
      </w:r>
      <w:r>
        <w:t>年</w:t>
      </w:r>
      <w:r>
        <w:rPr>
          <w:rFonts w:hint="eastAsia"/>
        </w:rPr>
        <w:t>12</w:t>
      </w:r>
      <w:r>
        <w:t>月，规范评审，并报批。</w:t>
      </w:r>
    </w:p>
    <w:p>
      <w:pPr>
        <w:ind w:firstLine="0" w:firstLineChars="0"/>
        <w:jc w:val="left"/>
        <w:outlineLvl w:val="0"/>
        <w:rPr>
          <w:rFonts w:eastAsia="黑体"/>
          <w:sz w:val="28"/>
          <w:szCs w:val="28"/>
        </w:rPr>
      </w:pPr>
      <w:bookmarkStart w:id="10" w:name="_Toc420162861"/>
      <w:bookmarkStart w:id="11" w:name="_Toc178885876"/>
      <w:r>
        <w:rPr>
          <w:rFonts w:eastAsia="黑体"/>
          <w:sz w:val="28"/>
          <w:szCs w:val="28"/>
        </w:rPr>
        <w:t xml:space="preserve">4 </w:t>
      </w:r>
      <w:bookmarkEnd w:id="10"/>
      <w:r>
        <w:rPr>
          <w:rFonts w:eastAsia="黑体"/>
          <w:sz w:val="28"/>
          <w:szCs w:val="28"/>
        </w:rPr>
        <w:t>制定标准的原则和依据，与现行法律法规、标准的关系</w:t>
      </w:r>
      <w:bookmarkEnd w:id="11"/>
    </w:p>
    <w:p>
      <w:pPr>
        <w:pStyle w:val="3"/>
        <w:numPr>
          <w:ilvl w:val="0"/>
          <w:numId w:val="0"/>
        </w:numPr>
        <w:rPr>
          <w:szCs w:val="28"/>
        </w:rPr>
      </w:pPr>
      <w:bookmarkStart w:id="12" w:name="_Toc178885877"/>
      <w:r>
        <w:rPr>
          <w:szCs w:val="28"/>
        </w:rPr>
        <w:t>4.1本标准编制遵循原则</w:t>
      </w:r>
      <w:bookmarkEnd w:id="12"/>
    </w:p>
    <w:p>
      <w:pPr>
        <w:ind w:firstLine="480"/>
      </w:pPr>
      <w:r>
        <w:rPr>
          <w:rFonts w:hint="eastAsia" w:ascii="宋体" w:hAnsi="宋体" w:cs="宋体"/>
        </w:rPr>
        <w:t>①</w:t>
      </w:r>
      <w:r>
        <w:t>系统性、安全性、先进性原则。标准文件建立在先进的理论研究水平之上，在指标和要求上以满足工程应用的安全和质量为基础，标准提出公路水泥稳定磷石膏的应用技术，涵盖相关材料、施工和质量检验等技术要求，具有系统性、安全性和先进性等特点。</w:t>
      </w:r>
    </w:p>
    <w:p>
      <w:pPr>
        <w:ind w:firstLine="480"/>
      </w:pPr>
      <w:r>
        <w:rPr>
          <w:rFonts w:hint="eastAsia" w:ascii="宋体" w:hAnsi="宋体" w:cs="宋体"/>
        </w:rPr>
        <w:t>②</w:t>
      </w:r>
      <w:r>
        <w:t>针对性和可行性的原则。标准文件以规范的形式突出了对工程应用的实际指导意义，内容更加侧重技术的指导性和规范化，标准的实施将带动相关的工程技术人员明确要求，掌握技术要领和工程操作，促进相关产品在工程应用中实际发挥作用。</w:t>
      </w:r>
    </w:p>
    <w:p>
      <w:pPr>
        <w:ind w:firstLine="480"/>
      </w:pPr>
      <w:r>
        <w:t xml:space="preserve"> </w:t>
      </w:r>
      <w:r>
        <w:rPr>
          <w:rFonts w:hint="eastAsia" w:ascii="宋体" w:hAnsi="宋体" w:cs="宋体"/>
        </w:rPr>
        <w:t>③</w:t>
      </w:r>
      <w:r>
        <w:t>与相关标准、规范相协调的原则。标准文件建立在已有规范的基础上，结合最新研究成果进行优化和提升，技术指标与相关的路面规范等保持协调。</w:t>
      </w:r>
    </w:p>
    <w:p>
      <w:pPr>
        <w:pStyle w:val="3"/>
        <w:numPr>
          <w:ilvl w:val="0"/>
          <w:numId w:val="0"/>
        </w:numPr>
        <w:rPr>
          <w:szCs w:val="28"/>
        </w:rPr>
      </w:pPr>
      <w:bookmarkStart w:id="13" w:name="_Toc178885878"/>
      <w:r>
        <w:rPr>
          <w:szCs w:val="28"/>
        </w:rPr>
        <w:t>4.2与现行法律法规、标准的关系</w:t>
      </w:r>
      <w:bookmarkEnd w:id="13"/>
    </w:p>
    <w:p>
      <w:pPr>
        <w:ind w:firstLine="480"/>
      </w:pPr>
      <w:r>
        <w:t>现行《公路沥青路面设计规范》（JTG D50-2017）、《公路沥青路面施工技术规范》（JTG F40-2004）及《公路路面基层施工技术细则》（JTGT F20-2015）中均未涉及水泥稳定磷石膏基层材料要求、配合比设计及施工工艺等方面的内容。</w:t>
      </w:r>
    </w:p>
    <w:p>
      <w:pPr>
        <w:ind w:firstLine="0" w:firstLineChars="0"/>
        <w:jc w:val="left"/>
        <w:outlineLvl w:val="0"/>
        <w:rPr>
          <w:rFonts w:eastAsia="黑体"/>
          <w:sz w:val="28"/>
          <w:szCs w:val="28"/>
        </w:rPr>
      </w:pPr>
      <w:bookmarkStart w:id="14" w:name="_Toc178885879"/>
      <w:bookmarkStart w:id="15" w:name="_Toc420162866"/>
      <w:r>
        <w:rPr>
          <w:rFonts w:eastAsia="黑体"/>
          <w:sz w:val="28"/>
          <w:szCs w:val="28"/>
        </w:rPr>
        <w:t>5</w:t>
      </w:r>
      <w:r>
        <w:rPr>
          <w:rFonts w:hint="eastAsia" w:eastAsia="黑体"/>
          <w:sz w:val="28"/>
          <w:szCs w:val="28"/>
        </w:rPr>
        <w:t>修订现行有关标准的建议</w:t>
      </w:r>
      <w:bookmarkEnd w:id="14"/>
    </w:p>
    <w:p>
      <w:pPr>
        <w:ind w:firstLine="480"/>
      </w:pPr>
      <w:r>
        <w:rPr>
          <w:rFonts w:hint="eastAsia"/>
        </w:rPr>
        <w:t>（1）调整了本文件的适用范围：结合一年来应用案例的积累，增加了水泥稳定磷石膏混合料在二级及以下公路沥青路面基层中的应用，修订为“本文件适用于达州市行政区域内公路水泥稳定磷石膏混合料在各等级公路路面底基层、二级及以下公路路面基层的应用。”</w:t>
      </w:r>
    </w:p>
    <w:p>
      <w:pPr>
        <w:ind w:firstLine="480"/>
      </w:pPr>
      <w:r>
        <w:rPr>
          <w:rFonts w:hint="eastAsia"/>
        </w:rPr>
        <w:t>（2）增加了部分规范性引用文件：如GB/T 8077 混凝土外加剂匀质性试验方法、JTG D50 公路沥青路面设计规范、JTG F80/1  公路工程质量检验评定标准第一册土建工程等。</w:t>
      </w:r>
    </w:p>
    <w:p>
      <w:pPr>
        <w:ind w:firstLine="480"/>
      </w:pPr>
      <w:r>
        <w:rPr>
          <w:rFonts w:hint="eastAsia"/>
        </w:rPr>
        <w:t>（3）部分规范版本进行了更新：如JTG 3441  公路工程无机结合料稳定材料试验规程。</w:t>
      </w:r>
    </w:p>
    <w:p>
      <w:pPr>
        <w:ind w:firstLine="480"/>
      </w:pPr>
      <w:r>
        <w:rPr>
          <w:rFonts w:hint="eastAsia"/>
        </w:rPr>
        <w:t>（4）路面结构章节中明确了弯拉强度和弹性模量测试方法：增加了“4.1.1　4.1.2　弯拉强度的测定应符合JTG 3441中T0851的规定，弹性模量应依据JTG D50中附录E采用中间段法单轴压缩试验测定，测试时试件的龄期应为90d。弯拉强度和弹性模量应取用测试数据的平均值。”等内容。</w:t>
      </w:r>
    </w:p>
    <w:p>
      <w:pPr>
        <w:ind w:firstLine="480"/>
      </w:pPr>
      <w:r>
        <w:rPr>
          <w:rFonts w:hint="eastAsia"/>
        </w:rPr>
        <w:t>（5）防排水中增加了层间防水粘结措施：4.2.2节修订为“水泥稳定磷石膏混合料用于基层时应采取必要的抗裂、防水、加强层间结合的措施，宜采用稀浆封层或同步碎石封层。”</w:t>
      </w:r>
    </w:p>
    <w:p>
      <w:pPr>
        <w:ind w:firstLine="480"/>
      </w:pPr>
      <w:r>
        <w:rPr>
          <w:rFonts w:hint="eastAsia"/>
        </w:rPr>
        <w:t>（6）完善了磷石膏原材料技术要求：增加了PH值、总砷 (干基)、总镉 (干基)、总铅 (干基)、总铬 (干基)、总汞 (干基)、总铊 (干基)等指标要求，并明确了“应符合GB 18599规定的第一类一般工业固体废物的要求。”</w:t>
      </w:r>
    </w:p>
    <w:p>
      <w:pPr>
        <w:ind w:firstLine="480"/>
      </w:pPr>
      <w:r>
        <w:rPr>
          <w:rFonts w:hint="eastAsia"/>
        </w:rPr>
        <w:t>（7）增加了液体固化剂技术要求：参考土壤固化剂及水泥稳定磷石膏固化剂相关标准，结合液体固化剂实际测试结果，增加了液体固化剂技术要求，如固含量、PH值和密度等，见规范表2。</w:t>
      </w:r>
    </w:p>
    <w:p>
      <w:pPr>
        <w:ind w:firstLine="480"/>
      </w:pPr>
      <w:r>
        <w:rPr>
          <w:rFonts w:hint="eastAsia"/>
        </w:rPr>
        <w:t>（8）明确了无侧限抗压强度平行试验的最少试件数量、强度代表值的计算等内容：部分应用者提出该部分内容不太明确，规范增加了表4，并增加了“6.2.3　水泥稳定磷石膏混合料强度代表值的计算应符合JTG/T F20的规定”等内容。</w:t>
      </w:r>
    </w:p>
    <w:p>
      <w:pPr>
        <w:ind w:firstLine="480"/>
      </w:pPr>
      <w:r>
        <w:rPr>
          <w:rFonts w:hint="eastAsia"/>
        </w:rPr>
        <w:t>（9）明确了严禁形成薄层贴补现象，以防起皮：增加了内容“终平时,应将局部高出部分刮除并扫出路外；对局部低洼之处,不再找补，严禁形成薄层贴补现象。”</w:t>
      </w:r>
    </w:p>
    <w:p>
      <w:pPr>
        <w:ind w:firstLine="480"/>
      </w:pPr>
      <w:r>
        <w:rPr>
          <w:rFonts w:hint="eastAsia"/>
        </w:rPr>
        <w:t>（10）增加了松浦系数相关内容：掺加碎石水泥稳定磷石膏混合料应采用摊铺机进行摊铺，松铺系数宜为1.3~1.35。不掺加碎石水泥稳定磷石膏混合料松铺系数可采用规范表8中的推荐值，具体松铺系数通过试验段确定。</w:t>
      </w:r>
    </w:p>
    <w:p>
      <w:pPr>
        <w:ind w:firstLine="480"/>
      </w:pPr>
      <w:r>
        <w:rPr>
          <w:rFonts w:hint="eastAsia"/>
        </w:rPr>
        <w:t>（11）养生时间进一步明确：掺加碎石的水泥稳定磷石膏混合料养生时间应不少于7d，不掺加碎石的水泥稳定磷石膏混合料养生时间应不少于14d。</w:t>
      </w:r>
    </w:p>
    <w:p>
      <w:pPr>
        <w:ind w:firstLine="480"/>
      </w:pPr>
      <w:r>
        <w:rPr>
          <w:rFonts w:hint="eastAsia"/>
        </w:rPr>
        <w:t>（12）增加了施工过程中的工程质量检查项目、频度和质量标准：见表11的规定。</w:t>
      </w:r>
    </w:p>
    <w:p>
      <w:pPr>
        <w:ind w:firstLine="480"/>
      </w:pPr>
      <w:r>
        <w:rPr>
          <w:rFonts w:hint="eastAsia"/>
        </w:rPr>
        <w:t>（13）增加了8.3节质量检验相关内容：为便于后期质量检验，增加了8.3节，明确了质量合格标准值。</w:t>
      </w:r>
    </w:p>
    <w:bookmarkEnd w:id="15"/>
    <w:p>
      <w:pPr>
        <w:ind w:firstLine="0" w:firstLineChars="0"/>
        <w:jc w:val="left"/>
        <w:outlineLvl w:val="0"/>
        <w:rPr>
          <w:rFonts w:eastAsia="黑体"/>
          <w:sz w:val="28"/>
          <w:szCs w:val="28"/>
        </w:rPr>
      </w:pPr>
      <w:bookmarkStart w:id="16" w:name="_Toc178885880"/>
      <w:r>
        <w:rPr>
          <w:rFonts w:hint="eastAsia" w:eastAsia="黑体"/>
          <w:sz w:val="28"/>
          <w:szCs w:val="28"/>
        </w:rPr>
        <w:t>6</w:t>
      </w:r>
      <w:r>
        <w:rPr>
          <w:rFonts w:eastAsia="黑体"/>
          <w:sz w:val="28"/>
          <w:szCs w:val="28"/>
        </w:rPr>
        <w:t>重大意见分歧的处理依据和结果</w:t>
      </w:r>
      <w:bookmarkEnd w:id="16"/>
    </w:p>
    <w:p>
      <w:pPr>
        <w:ind w:firstLine="480"/>
      </w:pPr>
      <w:bookmarkStart w:id="17" w:name="_Toc420162867"/>
      <w:r>
        <w:rPr>
          <w:rFonts w:hint="eastAsia"/>
        </w:rPr>
        <w:t>本文件适用于达州市行政区域内公路水泥稳定磷石膏混合料在各等级公路路面底基层、二级及以下公路路面基层的应用。市政道路、乡村道路和厂区道路等其他道路可参照执行。本文件不适用于自然保护区、水源保护区、湿地公园区、基本农田保护区等环境敏感区道路。</w:t>
      </w:r>
      <w:r>
        <w:t>通过水泥稳定磷石膏基层的推广应用，可减少其堆存量的同时，节约碎石材料，达到节能减碳目标的同时，保证路面施工质量。根据我市公路工程建设实际情况，本规范明确水泥稳定磷石膏基层质量控制相关技术要求，主要包括适用范围、原材料要求、配合比设计、施工工艺、施工质量验收等内容。</w:t>
      </w:r>
    </w:p>
    <w:p>
      <w:pPr>
        <w:ind w:firstLine="0" w:firstLineChars="0"/>
        <w:jc w:val="left"/>
        <w:outlineLvl w:val="0"/>
        <w:rPr>
          <w:rFonts w:eastAsia="黑体"/>
          <w:sz w:val="28"/>
          <w:szCs w:val="28"/>
        </w:rPr>
      </w:pPr>
      <w:bookmarkStart w:id="18" w:name="_Toc178885881"/>
      <w:r>
        <w:rPr>
          <w:rFonts w:hint="eastAsia" w:eastAsia="黑体"/>
          <w:sz w:val="28"/>
          <w:szCs w:val="28"/>
        </w:rPr>
        <w:t>7</w:t>
      </w:r>
      <w:r>
        <w:rPr>
          <w:rFonts w:eastAsia="黑体"/>
          <w:sz w:val="28"/>
          <w:szCs w:val="28"/>
        </w:rPr>
        <w:t>采用国际标准和国外先进标准的，说明采标程度，以及与国内外同类标准水平的对比情况</w:t>
      </w:r>
      <w:bookmarkEnd w:id="18"/>
    </w:p>
    <w:p>
      <w:pPr>
        <w:ind w:firstLine="480"/>
      </w:pPr>
      <w:r>
        <w:t>无。</w:t>
      </w:r>
    </w:p>
    <w:p>
      <w:pPr>
        <w:ind w:firstLine="0" w:firstLineChars="0"/>
        <w:jc w:val="left"/>
        <w:outlineLvl w:val="0"/>
        <w:rPr>
          <w:rFonts w:eastAsia="黑体"/>
          <w:sz w:val="28"/>
          <w:szCs w:val="28"/>
        </w:rPr>
      </w:pPr>
      <w:bookmarkStart w:id="19" w:name="_Toc178885882"/>
      <w:r>
        <w:rPr>
          <w:rFonts w:hint="eastAsia" w:eastAsia="黑体"/>
          <w:sz w:val="28"/>
          <w:szCs w:val="28"/>
        </w:rPr>
        <w:t>8</w:t>
      </w:r>
      <w:r>
        <w:rPr>
          <w:rFonts w:eastAsia="黑体"/>
          <w:sz w:val="28"/>
          <w:szCs w:val="28"/>
        </w:rPr>
        <w:t>作为推荐性标准建议及其理由</w:t>
      </w:r>
      <w:bookmarkEnd w:id="19"/>
    </w:p>
    <w:p>
      <w:pPr>
        <w:ind w:firstLine="480"/>
      </w:pPr>
      <w:r>
        <w:t>现行《公路沥青路面设计规范》（JTG D50-2017）、《公路沥青路面施工技术规范》（JTG F40-2004）及《公路路面基层施工技术细则》（JTGT F20-2015）中均未涉及水泥稳定磷石膏基层材料要求、配合比设计及施工工艺等方面的内容。</w:t>
      </w:r>
    </w:p>
    <w:p>
      <w:pPr>
        <w:ind w:firstLine="480"/>
      </w:pPr>
      <w:r>
        <w:rPr>
          <w:rFonts w:hint="eastAsia"/>
        </w:rPr>
        <w:t>截至目前，全球磷石膏堆积量高达60亿吨，我国磷石膏累计堆积量高达8亿吨左右， 2022年我国磷石膏行业产量约为7510万吨。随着磷酸铁 锂等新能源动力电池的兴起，磷酸的需求量将逐年增加，磷石膏的副产量也将同比大幅增加。我国在磷石膏利用方面出台了多项政策，努力提高磷石膏的利用率，2022年我国磷石膏综合利用率约48.0%左右，主要用于水泥添加剂、筑路填充、制作石膏板、制作建筑石膏粉及砌块等，综合利用率低。国家省市各级先后出台了大量的政策推动磷石膏高效利用，如《关于加快推动工业资源综合利用的实施方案》中提出，在保证安全环保的前提下，探索磷石膏用于地下采空区充填、道路材料等方面的应用；支持在湖北、四川、贵州、云南等地建设磷石膏规模化高效利用示范工程，鼓励有条件地区推行“以渣定产”。</w:t>
      </w:r>
    </w:p>
    <w:p>
      <w:pPr>
        <w:ind w:firstLine="480"/>
      </w:pPr>
      <w:r>
        <w:rPr>
          <w:rFonts w:hint="eastAsia"/>
        </w:rPr>
        <w:t>另外，磷石膏处理通常采取集中堆放的方式，长期得不到消纳处置，磷石膏堆场占用了大量土地，随堆存高度越高则向地下水渗透的风险越大，加之在磷石膏堆场进行机械操作以及遇到干燥大风时，会产生扬尘，造成粉尘和大气污染，对环境保护和当地居民健康威胁较大。针对磷石膏处理难度大、堆存量高、污染环境、缺乏高效高附加值利用途径，且矿产资源愈来愈匮乏等行业瓶颈，在如何在保证路基路面质量的前提下，将磷石膏高掺量的应用至路面建设中显得至关重要。因此，本规范修订中进一步对磷石膏在路面建设中进行了规范。</w:t>
      </w:r>
    </w:p>
    <w:p>
      <w:pPr>
        <w:ind w:firstLine="0" w:firstLineChars="0"/>
        <w:jc w:val="left"/>
        <w:outlineLvl w:val="0"/>
        <w:rPr>
          <w:rFonts w:eastAsia="黑体"/>
          <w:sz w:val="28"/>
          <w:szCs w:val="28"/>
        </w:rPr>
      </w:pPr>
      <w:bookmarkStart w:id="20" w:name="_Toc178885883"/>
      <w:r>
        <w:rPr>
          <w:rFonts w:hint="eastAsia" w:eastAsia="黑体"/>
          <w:sz w:val="28"/>
          <w:szCs w:val="28"/>
        </w:rPr>
        <w:t>9</w:t>
      </w:r>
      <w:r>
        <w:rPr>
          <w:rFonts w:eastAsia="黑体"/>
          <w:sz w:val="28"/>
          <w:szCs w:val="28"/>
        </w:rPr>
        <w:t xml:space="preserve"> 贯彻标准的措施建议</w:t>
      </w:r>
      <w:bookmarkEnd w:id="20"/>
    </w:p>
    <w:p>
      <w:pPr>
        <w:ind w:firstLine="480"/>
      </w:pPr>
      <w:r>
        <w:t>建议达州地区应用水泥稳定磷石膏基层的生产厂家、勘察设计单位、施工单位、建设主管部门等贯彻执行本标准，用于指导水泥稳定磷石膏基层施工及质量控制。</w:t>
      </w:r>
    </w:p>
    <w:bookmarkEnd w:id="17"/>
    <w:p>
      <w:pPr>
        <w:tabs>
          <w:tab w:val="left" w:pos="6411"/>
        </w:tabs>
        <w:ind w:firstLine="480"/>
      </w:pPr>
      <w:bookmarkStart w:id="21" w:name="_bookmark17"/>
      <w:bookmarkEnd w:id="21"/>
    </w:p>
    <w:p>
      <w:pPr>
        <w:ind w:firstLine="0" w:firstLineChars="0"/>
        <w:rPr>
          <w:rFonts w:eastAsia="黑体"/>
          <w:sz w:val="28"/>
          <w:szCs w:val="28"/>
        </w:rPr>
      </w:pPr>
    </w:p>
    <w:sectPr>
      <w:footerReference r:id="rId9" w:type="default"/>
      <w:pgSz w:w="11906" w:h="16838"/>
      <w:pgMar w:top="1418" w:right="1418" w:bottom="1418" w:left="170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right"/>
    </w:pP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mc:AlternateContent>
        <mc:Choice Requires="wps">
          <w:drawing>
            <wp:anchor distT="0" distB="0" distL="114300" distR="114300" simplePos="0" relativeHeight="251658240" behindDoc="0" locked="0" layoutInCell="1" allowOverlap="1">
              <wp:simplePos x="0" y="0"/>
              <wp:positionH relativeFrom="margin">
                <wp:posOffset>2646045</wp:posOffset>
              </wp:positionH>
              <wp:positionV relativeFrom="paragraph">
                <wp:posOffset>0</wp:posOffset>
              </wp:positionV>
              <wp:extent cx="464820" cy="121920"/>
              <wp:effectExtent l="0" t="0" r="11430" b="1143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64820" cy="121920"/>
                      </a:xfrm>
                      <a:prstGeom prst="rect">
                        <a:avLst/>
                      </a:prstGeom>
                      <a:noFill/>
                      <a:ln>
                        <a:noFill/>
                      </a:ln>
                    </wps:spPr>
                    <wps:txbx>
                      <w:txbxContent>
                        <w:p>
                          <w:pPr>
                            <w:pStyle w:val="12"/>
                            <w:ind w:firstLine="360"/>
                            <w:jc w:val="center"/>
                          </w:pPr>
                          <w:r>
                            <w:fldChar w:fldCharType="begin"/>
                          </w:r>
                          <w:r>
                            <w:instrText xml:space="preserve">PAGE   \* MERGEFORMAT</w:instrText>
                          </w:r>
                          <w:r>
                            <w:fldChar w:fldCharType="separate"/>
                          </w:r>
                          <w:r>
                            <w:rPr>
                              <w:lang w:val="zh-CN"/>
                            </w:rPr>
                            <w:t>4</w:t>
                          </w:r>
                          <w:r>
                            <w:fldChar w:fldCharType="end"/>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left:208.35pt;margin-top:0pt;height:9.6pt;width:36.6pt;mso-position-horizontal-relative:margin;z-index:251658240;mso-width-relative:page;mso-height-relative:page;" filled="f" stroked="f" coordsize="21600,21600" o:gfxdata="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XUmofWAAAABwEAAA8AAAAAAAAAAQAgAAAAIgAAAGRycy9kb3ducmV2LnhtbFBLAQIUABQAAAAI&#10;AIdO4kAzenoB7wEAALYDAAAOAAAAAAAAAAEAIAAAACUBAABkcnMvZTJvRG9jLnhtbFBLBQYAAAAA&#10;BgAGAFkBAACGBQAAAAA=&#10;">
              <v:fill on="f" focussize="0,0"/>
              <v:stroke on="f"/>
              <v:imagedata o:title=""/>
              <o:lock v:ext="edit" aspectratio="f"/>
              <v:textbox inset="0mm,0mm,0mm,0mm">
                <w:txbxContent>
                  <w:p>
                    <w:pPr>
                      <w:pStyle w:val="12"/>
                      <w:ind w:firstLine="360"/>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900DE"/>
    <w:multiLevelType w:val="multilevel"/>
    <w:tmpl w:val="708900DE"/>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425"/>
      </w:pPr>
      <w:rPr>
        <w:rFonts w:hint="eastAsia"/>
      </w:rPr>
    </w:lvl>
    <w:lvl w:ilvl="3" w:tentative="0">
      <w:start w:val="1"/>
      <w:numFmt w:val="decimal"/>
      <w:pStyle w:val="5"/>
      <w:suff w:val="space"/>
      <w:lvlText w:val="%1.%2.%3.%4"/>
      <w:lvlJc w:val="left"/>
      <w:pPr>
        <w:ind w:left="0" w:firstLine="425"/>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31"/>
    <w:rsid w:val="00000A3E"/>
    <w:rsid w:val="00001214"/>
    <w:rsid w:val="000028D1"/>
    <w:rsid w:val="00004161"/>
    <w:rsid w:val="000046ED"/>
    <w:rsid w:val="0000496D"/>
    <w:rsid w:val="00004A95"/>
    <w:rsid w:val="00004B8D"/>
    <w:rsid w:val="00006B11"/>
    <w:rsid w:val="00007722"/>
    <w:rsid w:val="00007C65"/>
    <w:rsid w:val="00011EE8"/>
    <w:rsid w:val="00012770"/>
    <w:rsid w:val="0001394E"/>
    <w:rsid w:val="00013EBA"/>
    <w:rsid w:val="00014570"/>
    <w:rsid w:val="00015A3C"/>
    <w:rsid w:val="00017A77"/>
    <w:rsid w:val="0002040D"/>
    <w:rsid w:val="00020432"/>
    <w:rsid w:val="00020470"/>
    <w:rsid w:val="0002065E"/>
    <w:rsid w:val="0002124B"/>
    <w:rsid w:val="0002296E"/>
    <w:rsid w:val="00023C06"/>
    <w:rsid w:val="00024053"/>
    <w:rsid w:val="00024670"/>
    <w:rsid w:val="00026B19"/>
    <w:rsid w:val="00030287"/>
    <w:rsid w:val="00030CDF"/>
    <w:rsid w:val="00030D58"/>
    <w:rsid w:val="00031061"/>
    <w:rsid w:val="00031911"/>
    <w:rsid w:val="00032597"/>
    <w:rsid w:val="00033E96"/>
    <w:rsid w:val="0003463A"/>
    <w:rsid w:val="00034D9E"/>
    <w:rsid w:val="00034E00"/>
    <w:rsid w:val="00036799"/>
    <w:rsid w:val="00036D47"/>
    <w:rsid w:val="00037980"/>
    <w:rsid w:val="00037CD9"/>
    <w:rsid w:val="00041943"/>
    <w:rsid w:val="00043404"/>
    <w:rsid w:val="00043568"/>
    <w:rsid w:val="000440FA"/>
    <w:rsid w:val="00044B09"/>
    <w:rsid w:val="00047672"/>
    <w:rsid w:val="000517C6"/>
    <w:rsid w:val="000534B8"/>
    <w:rsid w:val="000562A6"/>
    <w:rsid w:val="00056621"/>
    <w:rsid w:val="000568C2"/>
    <w:rsid w:val="00056CCA"/>
    <w:rsid w:val="00057223"/>
    <w:rsid w:val="0005764F"/>
    <w:rsid w:val="00057AA3"/>
    <w:rsid w:val="00057EBE"/>
    <w:rsid w:val="00060866"/>
    <w:rsid w:val="000620A4"/>
    <w:rsid w:val="00062B04"/>
    <w:rsid w:val="00062BEC"/>
    <w:rsid w:val="00063986"/>
    <w:rsid w:val="00066A91"/>
    <w:rsid w:val="000679CF"/>
    <w:rsid w:val="00070B84"/>
    <w:rsid w:val="0007118B"/>
    <w:rsid w:val="00071826"/>
    <w:rsid w:val="00074539"/>
    <w:rsid w:val="00074B35"/>
    <w:rsid w:val="00075803"/>
    <w:rsid w:val="00076334"/>
    <w:rsid w:val="00077018"/>
    <w:rsid w:val="00081BED"/>
    <w:rsid w:val="00083921"/>
    <w:rsid w:val="00083E8D"/>
    <w:rsid w:val="000844D9"/>
    <w:rsid w:val="0008465F"/>
    <w:rsid w:val="00084AD3"/>
    <w:rsid w:val="00085036"/>
    <w:rsid w:val="00086B4F"/>
    <w:rsid w:val="00087FA6"/>
    <w:rsid w:val="00090351"/>
    <w:rsid w:val="00091E5B"/>
    <w:rsid w:val="00092063"/>
    <w:rsid w:val="00092785"/>
    <w:rsid w:val="00092AAC"/>
    <w:rsid w:val="00094B18"/>
    <w:rsid w:val="00096D71"/>
    <w:rsid w:val="00097B98"/>
    <w:rsid w:val="000A106E"/>
    <w:rsid w:val="000A13E8"/>
    <w:rsid w:val="000A2D99"/>
    <w:rsid w:val="000A2E75"/>
    <w:rsid w:val="000A2FF0"/>
    <w:rsid w:val="000A30B0"/>
    <w:rsid w:val="000A360E"/>
    <w:rsid w:val="000A38DF"/>
    <w:rsid w:val="000A4FFA"/>
    <w:rsid w:val="000A68FB"/>
    <w:rsid w:val="000A73A6"/>
    <w:rsid w:val="000B054C"/>
    <w:rsid w:val="000B0605"/>
    <w:rsid w:val="000B0847"/>
    <w:rsid w:val="000B35CA"/>
    <w:rsid w:val="000B42E9"/>
    <w:rsid w:val="000B5304"/>
    <w:rsid w:val="000B6B77"/>
    <w:rsid w:val="000B7E19"/>
    <w:rsid w:val="000B7F93"/>
    <w:rsid w:val="000C01EA"/>
    <w:rsid w:val="000C21B8"/>
    <w:rsid w:val="000C3A21"/>
    <w:rsid w:val="000C5888"/>
    <w:rsid w:val="000C5F7D"/>
    <w:rsid w:val="000D052D"/>
    <w:rsid w:val="000D2387"/>
    <w:rsid w:val="000D4243"/>
    <w:rsid w:val="000D4F99"/>
    <w:rsid w:val="000D5132"/>
    <w:rsid w:val="000D5E54"/>
    <w:rsid w:val="000E0AC6"/>
    <w:rsid w:val="000E0B84"/>
    <w:rsid w:val="000E1C3C"/>
    <w:rsid w:val="000E3A29"/>
    <w:rsid w:val="000E4B45"/>
    <w:rsid w:val="000E5895"/>
    <w:rsid w:val="000E692B"/>
    <w:rsid w:val="000E6DF0"/>
    <w:rsid w:val="000F08FD"/>
    <w:rsid w:val="000F20C8"/>
    <w:rsid w:val="000F22B9"/>
    <w:rsid w:val="000F27D4"/>
    <w:rsid w:val="000F3D9C"/>
    <w:rsid w:val="000F4A61"/>
    <w:rsid w:val="000F55AC"/>
    <w:rsid w:val="000F5BD0"/>
    <w:rsid w:val="000F637C"/>
    <w:rsid w:val="0010017D"/>
    <w:rsid w:val="00100ADB"/>
    <w:rsid w:val="001019AC"/>
    <w:rsid w:val="00102D19"/>
    <w:rsid w:val="00102E39"/>
    <w:rsid w:val="00102F91"/>
    <w:rsid w:val="00103616"/>
    <w:rsid w:val="00103E5F"/>
    <w:rsid w:val="00107365"/>
    <w:rsid w:val="00107842"/>
    <w:rsid w:val="0011116D"/>
    <w:rsid w:val="00111E0B"/>
    <w:rsid w:val="001127DC"/>
    <w:rsid w:val="00112985"/>
    <w:rsid w:val="001138C2"/>
    <w:rsid w:val="00115ACD"/>
    <w:rsid w:val="00116938"/>
    <w:rsid w:val="00121A44"/>
    <w:rsid w:val="00122F68"/>
    <w:rsid w:val="00124A11"/>
    <w:rsid w:val="0012503E"/>
    <w:rsid w:val="00125239"/>
    <w:rsid w:val="00126D9B"/>
    <w:rsid w:val="00127A9E"/>
    <w:rsid w:val="00127E9D"/>
    <w:rsid w:val="00133EC0"/>
    <w:rsid w:val="001356B8"/>
    <w:rsid w:val="00136639"/>
    <w:rsid w:val="00136952"/>
    <w:rsid w:val="00140A34"/>
    <w:rsid w:val="00142903"/>
    <w:rsid w:val="00143210"/>
    <w:rsid w:val="00143B5B"/>
    <w:rsid w:val="00144311"/>
    <w:rsid w:val="00144B73"/>
    <w:rsid w:val="001452C1"/>
    <w:rsid w:val="00146CC5"/>
    <w:rsid w:val="001500E6"/>
    <w:rsid w:val="0015243D"/>
    <w:rsid w:val="0015426D"/>
    <w:rsid w:val="0015485A"/>
    <w:rsid w:val="00154F2A"/>
    <w:rsid w:val="00154F92"/>
    <w:rsid w:val="00155259"/>
    <w:rsid w:val="0015536E"/>
    <w:rsid w:val="00156759"/>
    <w:rsid w:val="00157B17"/>
    <w:rsid w:val="00162431"/>
    <w:rsid w:val="00162A85"/>
    <w:rsid w:val="00162E71"/>
    <w:rsid w:val="00163A67"/>
    <w:rsid w:val="00163B2B"/>
    <w:rsid w:val="001644F9"/>
    <w:rsid w:val="001667F7"/>
    <w:rsid w:val="00166966"/>
    <w:rsid w:val="00166A17"/>
    <w:rsid w:val="00167027"/>
    <w:rsid w:val="00170295"/>
    <w:rsid w:val="00174A8C"/>
    <w:rsid w:val="001757D1"/>
    <w:rsid w:val="0017598E"/>
    <w:rsid w:val="00176C57"/>
    <w:rsid w:val="001774B1"/>
    <w:rsid w:val="00180351"/>
    <w:rsid w:val="00180361"/>
    <w:rsid w:val="001803D6"/>
    <w:rsid w:val="00180413"/>
    <w:rsid w:val="0018103F"/>
    <w:rsid w:val="00181096"/>
    <w:rsid w:val="00181FF1"/>
    <w:rsid w:val="00183BBF"/>
    <w:rsid w:val="00185482"/>
    <w:rsid w:val="001856B4"/>
    <w:rsid w:val="00187576"/>
    <w:rsid w:val="001875D3"/>
    <w:rsid w:val="00190B1E"/>
    <w:rsid w:val="0019175E"/>
    <w:rsid w:val="0019248A"/>
    <w:rsid w:val="001930DA"/>
    <w:rsid w:val="00194318"/>
    <w:rsid w:val="0019462F"/>
    <w:rsid w:val="001950B8"/>
    <w:rsid w:val="00195450"/>
    <w:rsid w:val="00195638"/>
    <w:rsid w:val="001967D4"/>
    <w:rsid w:val="00196BDD"/>
    <w:rsid w:val="00196F39"/>
    <w:rsid w:val="001A0AC8"/>
    <w:rsid w:val="001A0F17"/>
    <w:rsid w:val="001A2EB2"/>
    <w:rsid w:val="001A337D"/>
    <w:rsid w:val="001A46B9"/>
    <w:rsid w:val="001A483E"/>
    <w:rsid w:val="001A4BE8"/>
    <w:rsid w:val="001A5328"/>
    <w:rsid w:val="001A72CA"/>
    <w:rsid w:val="001B00B3"/>
    <w:rsid w:val="001B1971"/>
    <w:rsid w:val="001B259B"/>
    <w:rsid w:val="001B41E0"/>
    <w:rsid w:val="001B6195"/>
    <w:rsid w:val="001B673C"/>
    <w:rsid w:val="001B7BE8"/>
    <w:rsid w:val="001B7D24"/>
    <w:rsid w:val="001C0EC5"/>
    <w:rsid w:val="001C456B"/>
    <w:rsid w:val="001C59FB"/>
    <w:rsid w:val="001C5D18"/>
    <w:rsid w:val="001C5D33"/>
    <w:rsid w:val="001C63BF"/>
    <w:rsid w:val="001C76D9"/>
    <w:rsid w:val="001D0DF1"/>
    <w:rsid w:val="001D1F1F"/>
    <w:rsid w:val="001D24B9"/>
    <w:rsid w:val="001D3030"/>
    <w:rsid w:val="001D3954"/>
    <w:rsid w:val="001D4C72"/>
    <w:rsid w:val="001D62CA"/>
    <w:rsid w:val="001D63D3"/>
    <w:rsid w:val="001D7668"/>
    <w:rsid w:val="001E05F9"/>
    <w:rsid w:val="001E1E58"/>
    <w:rsid w:val="001E3873"/>
    <w:rsid w:val="001E7342"/>
    <w:rsid w:val="001E74CA"/>
    <w:rsid w:val="001E7A6F"/>
    <w:rsid w:val="001F0622"/>
    <w:rsid w:val="001F0F35"/>
    <w:rsid w:val="001F166E"/>
    <w:rsid w:val="001F18FF"/>
    <w:rsid w:val="001F23E2"/>
    <w:rsid w:val="001F252E"/>
    <w:rsid w:val="001F2DA1"/>
    <w:rsid w:val="001F305B"/>
    <w:rsid w:val="001F3B47"/>
    <w:rsid w:val="001F4819"/>
    <w:rsid w:val="001F51E7"/>
    <w:rsid w:val="001F6002"/>
    <w:rsid w:val="001F6687"/>
    <w:rsid w:val="00200273"/>
    <w:rsid w:val="002002A1"/>
    <w:rsid w:val="0020058E"/>
    <w:rsid w:val="00202571"/>
    <w:rsid w:val="00202F76"/>
    <w:rsid w:val="00205167"/>
    <w:rsid w:val="00206082"/>
    <w:rsid w:val="00206A89"/>
    <w:rsid w:val="00207948"/>
    <w:rsid w:val="0021058D"/>
    <w:rsid w:val="002118D3"/>
    <w:rsid w:val="00212CFF"/>
    <w:rsid w:val="00213779"/>
    <w:rsid w:val="00213E60"/>
    <w:rsid w:val="00213FAD"/>
    <w:rsid w:val="00215146"/>
    <w:rsid w:val="00215F5A"/>
    <w:rsid w:val="00216C83"/>
    <w:rsid w:val="002202F1"/>
    <w:rsid w:val="00220320"/>
    <w:rsid w:val="00221154"/>
    <w:rsid w:val="00221827"/>
    <w:rsid w:val="00221C42"/>
    <w:rsid w:val="00221D5B"/>
    <w:rsid w:val="00222AED"/>
    <w:rsid w:val="0022616B"/>
    <w:rsid w:val="00226804"/>
    <w:rsid w:val="00227782"/>
    <w:rsid w:val="00227C32"/>
    <w:rsid w:val="0023040D"/>
    <w:rsid w:val="00231BAA"/>
    <w:rsid w:val="002326D8"/>
    <w:rsid w:val="0023313D"/>
    <w:rsid w:val="00234038"/>
    <w:rsid w:val="00235C3D"/>
    <w:rsid w:val="00235EB4"/>
    <w:rsid w:val="002371D0"/>
    <w:rsid w:val="00240456"/>
    <w:rsid w:val="002404A5"/>
    <w:rsid w:val="00242323"/>
    <w:rsid w:val="00242D5F"/>
    <w:rsid w:val="00243075"/>
    <w:rsid w:val="0024357A"/>
    <w:rsid w:val="00245D26"/>
    <w:rsid w:val="002469AB"/>
    <w:rsid w:val="00246F6F"/>
    <w:rsid w:val="002470A6"/>
    <w:rsid w:val="002470C5"/>
    <w:rsid w:val="002471AB"/>
    <w:rsid w:val="00250B56"/>
    <w:rsid w:val="00250BCA"/>
    <w:rsid w:val="0025427E"/>
    <w:rsid w:val="00255635"/>
    <w:rsid w:val="00260A39"/>
    <w:rsid w:val="002618FD"/>
    <w:rsid w:val="00264063"/>
    <w:rsid w:val="002651AA"/>
    <w:rsid w:val="00265703"/>
    <w:rsid w:val="0026692C"/>
    <w:rsid w:val="00270CB2"/>
    <w:rsid w:val="00271AE2"/>
    <w:rsid w:val="0027209C"/>
    <w:rsid w:val="002723A2"/>
    <w:rsid w:val="002724BB"/>
    <w:rsid w:val="00272A78"/>
    <w:rsid w:val="00272B30"/>
    <w:rsid w:val="00273EB5"/>
    <w:rsid w:val="002742EE"/>
    <w:rsid w:val="00276CF1"/>
    <w:rsid w:val="00277964"/>
    <w:rsid w:val="00281B95"/>
    <w:rsid w:val="00283B44"/>
    <w:rsid w:val="0028563C"/>
    <w:rsid w:val="002859C0"/>
    <w:rsid w:val="00285A29"/>
    <w:rsid w:val="00285E2E"/>
    <w:rsid w:val="002872FF"/>
    <w:rsid w:val="002914F7"/>
    <w:rsid w:val="00291FEF"/>
    <w:rsid w:val="00292D77"/>
    <w:rsid w:val="002936ED"/>
    <w:rsid w:val="00296762"/>
    <w:rsid w:val="00297B2F"/>
    <w:rsid w:val="002A1C65"/>
    <w:rsid w:val="002A1D9B"/>
    <w:rsid w:val="002A32CB"/>
    <w:rsid w:val="002A3927"/>
    <w:rsid w:val="002A3F3A"/>
    <w:rsid w:val="002A4EF3"/>
    <w:rsid w:val="002A529B"/>
    <w:rsid w:val="002A5CBB"/>
    <w:rsid w:val="002A5D07"/>
    <w:rsid w:val="002A6628"/>
    <w:rsid w:val="002A6B95"/>
    <w:rsid w:val="002A7AE7"/>
    <w:rsid w:val="002B0D65"/>
    <w:rsid w:val="002B1354"/>
    <w:rsid w:val="002B185B"/>
    <w:rsid w:val="002B3974"/>
    <w:rsid w:val="002B413F"/>
    <w:rsid w:val="002B4D67"/>
    <w:rsid w:val="002B59EF"/>
    <w:rsid w:val="002B5A96"/>
    <w:rsid w:val="002B60B5"/>
    <w:rsid w:val="002B7A0F"/>
    <w:rsid w:val="002B7E50"/>
    <w:rsid w:val="002C08D2"/>
    <w:rsid w:val="002C3709"/>
    <w:rsid w:val="002C43C7"/>
    <w:rsid w:val="002C4F17"/>
    <w:rsid w:val="002C6021"/>
    <w:rsid w:val="002C6986"/>
    <w:rsid w:val="002C7F4F"/>
    <w:rsid w:val="002D0D3F"/>
    <w:rsid w:val="002D32D0"/>
    <w:rsid w:val="002D5F5B"/>
    <w:rsid w:val="002D7F0E"/>
    <w:rsid w:val="002E1A1B"/>
    <w:rsid w:val="002E27D0"/>
    <w:rsid w:val="002E3851"/>
    <w:rsid w:val="002E3ED6"/>
    <w:rsid w:val="002E3FE1"/>
    <w:rsid w:val="002E4453"/>
    <w:rsid w:val="002E51A9"/>
    <w:rsid w:val="002E6C89"/>
    <w:rsid w:val="002F381C"/>
    <w:rsid w:val="002F5018"/>
    <w:rsid w:val="002F5389"/>
    <w:rsid w:val="002F541A"/>
    <w:rsid w:val="002F6584"/>
    <w:rsid w:val="002F6AE5"/>
    <w:rsid w:val="002F6D62"/>
    <w:rsid w:val="002F718C"/>
    <w:rsid w:val="003000A7"/>
    <w:rsid w:val="0030765C"/>
    <w:rsid w:val="00310F40"/>
    <w:rsid w:val="0031344B"/>
    <w:rsid w:val="00314443"/>
    <w:rsid w:val="00314EAB"/>
    <w:rsid w:val="00315B2F"/>
    <w:rsid w:val="00316F00"/>
    <w:rsid w:val="00317BF0"/>
    <w:rsid w:val="00320291"/>
    <w:rsid w:val="0032045E"/>
    <w:rsid w:val="0032137D"/>
    <w:rsid w:val="00322E8D"/>
    <w:rsid w:val="003236C3"/>
    <w:rsid w:val="00323F9C"/>
    <w:rsid w:val="003242E8"/>
    <w:rsid w:val="003253A5"/>
    <w:rsid w:val="00326A79"/>
    <w:rsid w:val="00327305"/>
    <w:rsid w:val="0032757C"/>
    <w:rsid w:val="00327CBB"/>
    <w:rsid w:val="00330520"/>
    <w:rsid w:val="003316EB"/>
    <w:rsid w:val="00331B55"/>
    <w:rsid w:val="003326C6"/>
    <w:rsid w:val="00332A72"/>
    <w:rsid w:val="00332E82"/>
    <w:rsid w:val="003335F8"/>
    <w:rsid w:val="00334169"/>
    <w:rsid w:val="00334D95"/>
    <w:rsid w:val="00334F9D"/>
    <w:rsid w:val="00340DA0"/>
    <w:rsid w:val="00341383"/>
    <w:rsid w:val="00341ADF"/>
    <w:rsid w:val="0034200B"/>
    <w:rsid w:val="00342785"/>
    <w:rsid w:val="00343D12"/>
    <w:rsid w:val="0034648C"/>
    <w:rsid w:val="00346611"/>
    <w:rsid w:val="00346FAF"/>
    <w:rsid w:val="00350203"/>
    <w:rsid w:val="00351131"/>
    <w:rsid w:val="00352908"/>
    <w:rsid w:val="00354B71"/>
    <w:rsid w:val="003551DE"/>
    <w:rsid w:val="00355D8C"/>
    <w:rsid w:val="00356DAB"/>
    <w:rsid w:val="00356F36"/>
    <w:rsid w:val="003570EC"/>
    <w:rsid w:val="00360CF5"/>
    <w:rsid w:val="00361E91"/>
    <w:rsid w:val="00362090"/>
    <w:rsid w:val="00362973"/>
    <w:rsid w:val="003631EA"/>
    <w:rsid w:val="0036438C"/>
    <w:rsid w:val="0036451D"/>
    <w:rsid w:val="00364D09"/>
    <w:rsid w:val="00365AAC"/>
    <w:rsid w:val="00370769"/>
    <w:rsid w:val="003728ED"/>
    <w:rsid w:val="0037384C"/>
    <w:rsid w:val="00373A90"/>
    <w:rsid w:val="00374271"/>
    <w:rsid w:val="00375A19"/>
    <w:rsid w:val="00380A20"/>
    <w:rsid w:val="003814B1"/>
    <w:rsid w:val="0038160E"/>
    <w:rsid w:val="003816B5"/>
    <w:rsid w:val="00383002"/>
    <w:rsid w:val="003847D3"/>
    <w:rsid w:val="00385C0B"/>
    <w:rsid w:val="00390B6E"/>
    <w:rsid w:val="00390FA4"/>
    <w:rsid w:val="0039130D"/>
    <w:rsid w:val="003915F3"/>
    <w:rsid w:val="00391F0A"/>
    <w:rsid w:val="003947ED"/>
    <w:rsid w:val="0039500B"/>
    <w:rsid w:val="00395B1B"/>
    <w:rsid w:val="00395BDD"/>
    <w:rsid w:val="00395F5F"/>
    <w:rsid w:val="003A0646"/>
    <w:rsid w:val="003A0697"/>
    <w:rsid w:val="003A0BF6"/>
    <w:rsid w:val="003A17EF"/>
    <w:rsid w:val="003A2205"/>
    <w:rsid w:val="003A374E"/>
    <w:rsid w:val="003A4636"/>
    <w:rsid w:val="003B08A1"/>
    <w:rsid w:val="003B14B3"/>
    <w:rsid w:val="003B2060"/>
    <w:rsid w:val="003B2E36"/>
    <w:rsid w:val="003B59D4"/>
    <w:rsid w:val="003B6148"/>
    <w:rsid w:val="003C1FCE"/>
    <w:rsid w:val="003C3FF1"/>
    <w:rsid w:val="003C5702"/>
    <w:rsid w:val="003C5B01"/>
    <w:rsid w:val="003C5F32"/>
    <w:rsid w:val="003C6216"/>
    <w:rsid w:val="003D0925"/>
    <w:rsid w:val="003D149E"/>
    <w:rsid w:val="003D1935"/>
    <w:rsid w:val="003D21BF"/>
    <w:rsid w:val="003D529E"/>
    <w:rsid w:val="003D5F9E"/>
    <w:rsid w:val="003D6E52"/>
    <w:rsid w:val="003D76AE"/>
    <w:rsid w:val="003D7FB9"/>
    <w:rsid w:val="003E06EC"/>
    <w:rsid w:val="003E1739"/>
    <w:rsid w:val="003E2130"/>
    <w:rsid w:val="003E36A4"/>
    <w:rsid w:val="003E3AD9"/>
    <w:rsid w:val="003E49AA"/>
    <w:rsid w:val="003E552C"/>
    <w:rsid w:val="003E6558"/>
    <w:rsid w:val="003E6776"/>
    <w:rsid w:val="003E7F68"/>
    <w:rsid w:val="003F008A"/>
    <w:rsid w:val="003F0E38"/>
    <w:rsid w:val="003F2380"/>
    <w:rsid w:val="003F443B"/>
    <w:rsid w:val="003F5BBD"/>
    <w:rsid w:val="003F6EF1"/>
    <w:rsid w:val="003F7F4D"/>
    <w:rsid w:val="00400049"/>
    <w:rsid w:val="00400A78"/>
    <w:rsid w:val="0040173A"/>
    <w:rsid w:val="004024F8"/>
    <w:rsid w:val="00403C4D"/>
    <w:rsid w:val="0040507C"/>
    <w:rsid w:val="00405665"/>
    <w:rsid w:val="004061AF"/>
    <w:rsid w:val="0041044A"/>
    <w:rsid w:val="004106F4"/>
    <w:rsid w:val="004108CF"/>
    <w:rsid w:val="0041233D"/>
    <w:rsid w:val="00412AC8"/>
    <w:rsid w:val="0041314E"/>
    <w:rsid w:val="00413FDF"/>
    <w:rsid w:val="004143D6"/>
    <w:rsid w:val="004145CB"/>
    <w:rsid w:val="0041680A"/>
    <w:rsid w:val="004168B1"/>
    <w:rsid w:val="00420A25"/>
    <w:rsid w:val="00421E92"/>
    <w:rsid w:val="004263F8"/>
    <w:rsid w:val="00426A56"/>
    <w:rsid w:val="00426C18"/>
    <w:rsid w:val="00427079"/>
    <w:rsid w:val="004274E9"/>
    <w:rsid w:val="004275DF"/>
    <w:rsid w:val="00427712"/>
    <w:rsid w:val="0042771D"/>
    <w:rsid w:val="0043038D"/>
    <w:rsid w:val="0043129D"/>
    <w:rsid w:val="00431F6C"/>
    <w:rsid w:val="00432803"/>
    <w:rsid w:val="0043599A"/>
    <w:rsid w:val="00435DA0"/>
    <w:rsid w:val="00436011"/>
    <w:rsid w:val="00436AE7"/>
    <w:rsid w:val="00436F43"/>
    <w:rsid w:val="004372A7"/>
    <w:rsid w:val="004375E5"/>
    <w:rsid w:val="00442716"/>
    <w:rsid w:val="0044371B"/>
    <w:rsid w:val="004443E5"/>
    <w:rsid w:val="00444FD0"/>
    <w:rsid w:val="00445836"/>
    <w:rsid w:val="00446496"/>
    <w:rsid w:val="00446915"/>
    <w:rsid w:val="00446D1A"/>
    <w:rsid w:val="00447CE2"/>
    <w:rsid w:val="00450838"/>
    <w:rsid w:val="00450DA6"/>
    <w:rsid w:val="004510A9"/>
    <w:rsid w:val="004520D1"/>
    <w:rsid w:val="00452E5F"/>
    <w:rsid w:val="00456ACD"/>
    <w:rsid w:val="00457EBA"/>
    <w:rsid w:val="004600DE"/>
    <w:rsid w:val="00460C22"/>
    <w:rsid w:val="0046123C"/>
    <w:rsid w:val="004627BF"/>
    <w:rsid w:val="004631FC"/>
    <w:rsid w:val="004633C9"/>
    <w:rsid w:val="00463481"/>
    <w:rsid w:val="00464875"/>
    <w:rsid w:val="00464D3D"/>
    <w:rsid w:val="004664F7"/>
    <w:rsid w:val="00467FC8"/>
    <w:rsid w:val="0047299D"/>
    <w:rsid w:val="00472F42"/>
    <w:rsid w:val="004739D9"/>
    <w:rsid w:val="00473FF4"/>
    <w:rsid w:val="00474166"/>
    <w:rsid w:val="00474747"/>
    <w:rsid w:val="00474CBF"/>
    <w:rsid w:val="00475A70"/>
    <w:rsid w:val="00475AE4"/>
    <w:rsid w:val="00477BFF"/>
    <w:rsid w:val="00481129"/>
    <w:rsid w:val="00481317"/>
    <w:rsid w:val="00481948"/>
    <w:rsid w:val="00481DFD"/>
    <w:rsid w:val="0048280A"/>
    <w:rsid w:val="004839EF"/>
    <w:rsid w:val="00483C7E"/>
    <w:rsid w:val="004852E0"/>
    <w:rsid w:val="00485FF2"/>
    <w:rsid w:val="0048613C"/>
    <w:rsid w:val="0048796C"/>
    <w:rsid w:val="00490004"/>
    <w:rsid w:val="00492A86"/>
    <w:rsid w:val="00493C4C"/>
    <w:rsid w:val="00493DD9"/>
    <w:rsid w:val="0049571E"/>
    <w:rsid w:val="004A0869"/>
    <w:rsid w:val="004A2D2E"/>
    <w:rsid w:val="004A4F42"/>
    <w:rsid w:val="004A60EB"/>
    <w:rsid w:val="004A6757"/>
    <w:rsid w:val="004A68FF"/>
    <w:rsid w:val="004A6951"/>
    <w:rsid w:val="004A6BC7"/>
    <w:rsid w:val="004A7FBF"/>
    <w:rsid w:val="004B0C7D"/>
    <w:rsid w:val="004B1CAD"/>
    <w:rsid w:val="004B2318"/>
    <w:rsid w:val="004B23C7"/>
    <w:rsid w:val="004B2C38"/>
    <w:rsid w:val="004B2CD0"/>
    <w:rsid w:val="004B3017"/>
    <w:rsid w:val="004B3A0D"/>
    <w:rsid w:val="004B45A7"/>
    <w:rsid w:val="004B4E5B"/>
    <w:rsid w:val="004B687D"/>
    <w:rsid w:val="004B7040"/>
    <w:rsid w:val="004C1271"/>
    <w:rsid w:val="004C3071"/>
    <w:rsid w:val="004C41BA"/>
    <w:rsid w:val="004C4298"/>
    <w:rsid w:val="004C568D"/>
    <w:rsid w:val="004C5773"/>
    <w:rsid w:val="004C59DE"/>
    <w:rsid w:val="004C7394"/>
    <w:rsid w:val="004C739A"/>
    <w:rsid w:val="004D1B5A"/>
    <w:rsid w:val="004D2FEA"/>
    <w:rsid w:val="004D3B36"/>
    <w:rsid w:val="004D5985"/>
    <w:rsid w:val="004D5FDC"/>
    <w:rsid w:val="004D6D27"/>
    <w:rsid w:val="004D7675"/>
    <w:rsid w:val="004E1713"/>
    <w:rsid w:val="004E1F7D"/>
    <w:rsid w:val="004E22FD"/>
    <w:rsid w:val="004E3507"/>
    <w:rsid w:val="004E4332"/>
    <w:rsid w:val="004E72D0"/>
    <w:rsid w:val="004F06FB"/>
    <w:rsid w:val="004F1531"/>
    <w:rsid w:val="004F2BB1"/>
    <w:rsid w:val="004F3082"/>
    <w:rsid w:val="004F3C40"/>
    <w:rsid w:val="004F3D4B"/>
    <w:rsid w:val="004F6152"/>
    <w:rsid w:val="004F6454"/>
    <w:rsid w:val="004F7400"/>
    <w:rsid w:val="004F7C9A"/>
    <w:rsid w:val="004F7E10"/>
    <w:rsid w:val="005004A3"/>
    <w:rsid w:val="005012F0"/>
    <w:rsid w:val="00501E41"/>
    <w:rsid w:val="00503F76"/>
    <w:rsid w:val="00504397"/>
    <w:rsid w:val="00506CFC"/>
    <w:rsid w:val="0050716B"/>
    <w:rsid w:val="00510297"/>
    <w:rsid w:val="00512664"/>
    <w:rsid w:val="00512C69"/>
    <w:rsid w:val="00513E2F"/>
    <w:rsid w:val="00514FA9"/>
    <w:rsid w:val="00515EDC"/>
    <w:rsid w:val="00520B4E"/>
    <w:rsid w:val="00521109"/>
    <w:rsid w:val="005240E1"/>
    <w:rsid w:val="005255C4"/>
    <w:rsid w:val="005277CF"/>
    <w:rsid w:val="00527C77"/>
    <w:rsid w:val="00527EC8"/>
    <w:rsid w:val="00527FA9"/>
    <w:rsid w:val="005307D0"/>
    <w:rsid w:val="00531820"/>
    <w:rsid w:val="00531AA2"/>
    <w:rsid w:val="00531DBE"/>
    <w:rsid w:val="00533340"/>
    <w:rsid w:val="00533BF1"/>
    <w:rsid w:val="00534E01"/>
    <w:rsid w:val="00535036"/>
    <w:rsid w:val="00535408"/>
    <w:rsid w:val="005375B4"/>
    <w:rsid w:val="00541F89"/>
    <w:rsid w:val="00542419"/>
    <w:rsid w:val="00542B79"/>
    <w:rsid w:val="00543719"/>
    <w:rsid w:val="005451F9"/>
    <w:rsid w:val="00545AAB"/>
    <w:rsid w:val="0054725A"/>
    <w:rsid w:val="0055177C"/>
    <w:rsid w:val="00551937"/>
    <w:rsid w:val="00552BFD"/>
    <w:rsid w:val="00553D60"/>
    <w:rsid w:val="00553D6E"/>
    <w:rsid w:val="00554535"/>
    <w:rsid w:val="00554CC5"/>
    <w:rsid w:val="00555AF5"/>
    <w:rsid w:val="00560BB0"/>
    <w:rsid w:val="00562504"/>
    <w:rsid w:val="005627DD"/>
    <w:rsid w:val="00564062"/>
    <w:rsid w:val="005645D3"/>
    <w:rsid w:val="00564E4D"/>
    <w:rsid w:val="005667CD"/>
    <w:rsid w:val="00567069"/>
    <w:rsid w:val="00567E46"/>
    <w:rsid w:val="00567FD8"/>
    <w:rsid w:val="005700A6"/>
    <w:rsid w:val="005706FC"/>
    <w:rsid w:val="00571889"/>
    <w:rsid w:val="00571D73"/>
    <w:rsid w:val="005722E2"/>
    <w:rsid w:val="00572B0D"/>
    <w:rsid w:val="00574263"/>
    <w:rsid w:val="00574CFD"/>
    <w:rsid w:val="00575A6D"/>
    <w:rsid w:val="00580BB3"/>
    <w:rsid w:val="005812F2"/>
    <w:rsid w:val="00581624"/>
    <w:rsid w:val="00581BED"/>
    <w:rsid w:val="00581EB6"/>
    <w:rsid w:val="0058223B"/>
    <w:rsid w:val="00584637"/>
    <w:rsid w:val="00584A5F"/>
    <w:rsid w:val="00586475"/>
    <w:rsid w:val="00590435"/>
    <w:rsid w:val="00591425"/>
    <w:rsid w:val="005915A2"/>
    <w:rsid w:val="005924C0"/>
    <w:rsid w:val="00593B93"/>
    <w:rsid w:val="00594FA8"/>
    <w:rsid w:val="0059696F"/>
    <w:rsid w:val="00597628"/>
    <w:rsid w:val="00597B5F"/>
    <w:rsid w:val="005A0177"/>
    <w:rsid w:val="005A0EC3"/>
    <w:rsid w:val="005A1443"/>
    <w:rsid w:val="005A189C"/>
    <w:rsid w:val="005A22C1"/>
    <w:rsid w:val="005A2BCB"/>
    <w:rsid w:val="005A3FD2"/>
    <w:rsid w:val="005A6AC5"/>
    <w:rsid w:val="005A7C08"/>
    <w:rsid w:val="005B08D6"/>
    <w:rsid w:val="005B0EDE"/>
    <w:rsid w:val="005B1BED"/>
    <w:rsid w:val="005B5614"/>
    <w:rsid w:val="005B59AE"/>
    <w:rsid w:val="005B5BC7"/>
    <w:rsid w:val="005B5D73"/>
    <w:rsid w:val="005B5EE8"/>
    <w:rsid w:val="005C023E"/>
    <w:rsid w:val="005C0DB4"/>
    <w:rsid w:val="005C13C3"/>
    <w:rsid w:val="005C2943"/>
    <w:rsid w:val="005C3A42"/>
    <w:rsid w:val="005C3F38"/>
    <w:rsid w:val="005C5665"/>
    <w:rsid w:val="005D0300"/>
    <w:rsid w:val="005D39CD"/>
    <w:rsid w:val="005D6886"/>
    <w:rsid w:val="005D6AD7"/>
    <w:rsid w:val="005E1BC6"/>
    <w:rsid w:val="005E2812"/>
    <w:rsid w:val="005E5762"/>
    <w:rsid w:val="005E5B29"/>
    <w:rsid w:val="005E5B68"/>
    <w:rsid w:val="005E626E"/>
    <w:rsid w:val="005E7CFC"/>
    <w:rsid w:val="005F06DA"/>
    <w:rsid w:val="005F0DD8"/>
    <w:rsid w:val="005F1B4F"/>
    <w:rsid w:val="005F2436"/>
    <w:rsid w:val="005F31F8"/>
    <w:rsid w:val="005F4FBF"/>
    <w:rsid w:val="005F53B2"/>
    <w:rsid w:val="005F63CE"/>
    <w:rsid w:val="005F771F"/>
    <w:rsid w:val="0060042D"/>
    <w:rsid w:val="00601B64"/>
    <w:rsid w:val="0060251D"/>
    <w:rsid w:val="00602F8C"/>
    <w:rsid w:val="0060523C"/>
    <w:rsid w:val="00606518"/>
    <w:rsid w:val="00607E49"/>
    <w:rsid w:val="006110E2"/>
    <w:rsid w:val="00611EFF"/>
    <w:rsid w:val="006123E3"/>
    <w:rsid w:val="00613343"/>
    <w:rsid w:val="0061337C"/>
    <w:rsid w:val="0061344F"/>
    <w:rsid w:val="00613DCD"/>
    <w:rsid w:val="00614727"/>
    <w:rsid w:val="00616874"/>
    <w:rsid w:val="00617051"/>
    <w:rsid w:val="00617440"/>
    <w:rsid w:val="00620AF0"/>
    <w:rsid w:val="00620AF4"/>
    <w:rsid w:val="006220F8"/>
    <w:rsid w:val="006236AA"/>
    <w:rsid w:val="00625155"/>
    <w:rsid w:val="00630C4C"/>
    <w:rsid w:val="00634064"/>
    <w:rsid w:val="0063420A"/>
    <w:rsid w:val="00634644"/>
    <w:rsid w:val="00635B1F"/>
    <w:rsid w:val="00635FFC"/>
    <w:rsid w:val="00636673"/>
    <w:rsid w:val="006368A2"/>
    <w:rsid w:val="00637823"/>
    <w:rsid w:val="00641700"/>
    <w:rsid w:val="0064313B"/>
    <w:rsid w:val="00643E81"/>
    <w:rsid w:val="00645904"/>
    <w:rsid w:val="0064673C"/>
    <w:rsid w:val="00646CFA"/>
    <w:rsid w:val="00647150"/>
    <w:rsid w:val="0064733D"/>
    <w:rsid w:val="006478FA"/>
    <w:rsid w:val="00647F2F"/>
    <w:rsid w:val="006505C1"/>
    <w:rsid w:val="00651A42"/>
    <w:rsid w:val="00651ED2"/>
    <w:rsid w:val="00653733"/>
    <w:rsid w:val="00653EA8"/>
    <w:rsid w:val="0065416B"/>
    <w:rsid w:val="00654264"/>
    <w:rsid w:val="00654704"/>
    <w:rsid w:val="006547BB"/>
    <w:rsid w:val="0065481D"/>
    <w:rsid w:val="0065573B"/>
    <w:rsid w:val="00655E8D"/>
    <w:rsid w:val="00657BD0"/>
    <w:rsid w:val="00657CB0"/>
    <w:rsid w:val="00660C48"/>
    <w:rsid w:val="0066192C"/>
    <w:rsid w:val="00661FA8"/>
    <w:rsid w:val="00663918"/>
    <w:rsid w:val="006640FE"/>
    <w:rsid w:val="00665F9C"/>
    <w:rsid w:val="006663AF"/>
    <w:rsid w:val="0066672E"/>
    <w:rsid w:val="0066774A"/>
    <w:rsid w:val="0066792B"/>
    <w:rsid w:val="00667F1B"/>
    <w:rsid w:val="006700DD"/>
    <w:rsid w:val="00673290"/>
    <w:rsid w:val="00674C02"/>
    <w:rsid w:val="006760A8"/>
    <w:rsid w:val="00676ABC"/>
    <w:rsid w:val="00677591"/>
    <w:rsid w:val="0068175A"/>
    <w:rsid w:val="00681A52"/>
    <w:rsid w:val="0068369B"/>
    <w:rsid w:val="00684D31"/>
    <w:rsid w:val="0068502E"/>
    <w:rsid w:val="006853CC"/>
    <w:rsid w:val="00685733"/>
    <w:rsid w:val="00690182"/>
    <w:rsid w:val="00690E90"/>
    <w:rsid w:val="0069103D"/>
    <w:rsid w:val="00691768"/>
    <w:rsid w:val="00694EA2"/>
    <w:rsid w:val="006955C7"/>
    <w:rsid w:val="00696890"/>
    <w:rsid w:val="00696951"/>
    <w:rsid w:val="006971F2"/>
    <w:rsid w:val="006A0505"/>
    <w:rsid w:val="006A1229"/>
    <w:rsid w:val="006A2217"/>
    <w:rsid w:val="006A3503"/>
    <w:rsid w:val="006A481A"/>
    <w:rsid w:val="006A4CF9"/>
    <w:rsid w:val="006A5259"/>
    <w:rsid w:val="006A5330"/>
    <w:rsid w:val="006A5984"/>
    <w:rsid w:val="006A7177"/>
    <w:rsid w:val="006B005E"/>
    <w:rsid w:val="006B0235"/>
    <w:rsid w:val="006B2DCF"/>
    <w:rsid w:val="006B2E37"/>
    <w:rsid w:val="006B2FB6"/>
    <w:rsid w:val="006B3313"/>
    <w:rsid w:val="006B3879"/>
    <w:rsid w:val="006B3CFB"/>
    <w:rsid w:val="006B42B0"/>
    <w:rsid w:val="006B4AF0"/>
    <w:rsid w:val="006B7D93"/>
    <w:rsid w:val="006B7E2D"/>
    <w:rsid w:val="006C176E"/>
    <w:rsid w:val="006C1CED"/>
    <w:rsid w:val="006C2745"/>
    <w:rsid w:val="006C2FA8"/>
    <w:rsid w:val="006C35CB"/>
    <w:rsid w:val="006C367E"/>
    <w:rsid w:val="006C5777"/>
    <w:rsid w:val="006C7475"/>
    <w:rsid w:val="006C7BFF"/>
    <w:rsid w:val="006D2F80"/>
    <w:rsid w:val="006D4150"/>
    <w:rsid w:val="006D5DE0"/>
    <w:rsid w:val="006D6038"/>
    <w:rsid w:val="006D6604"/>
    <w:rsid w:val="006E068A"/>
    <w:rsid w:val="006E16D5"/>
    <w:rsid w:val="006E23B3"/>
    <w:rsid w:val="006E2C08"/>
    <w:rsid w:val="006E3AC2"/>
    <w:rsid w:val="006E3FFA"/>
    <w:rsid w:val="006E4794"/>
    <w:rsid w:val="006E4C04"/>
    <w:rsid w:val="006E6F98"/>
    <w:rsid w:val="006F001F"/>
    <w:rsid w:val="006F0D25"/>
    <w:rsid w:val="006F12A1"/>
    <w:rsid w:val="006F225E"/>
    <w:rsid w:val="006F3153"/>
    <w:rsid w:val="006F3B93"/>
    <w:rsid w:val="006F3DCD"/>
    <w:rsid w:val="006F4A37"/>
    <w:rsid w:val="006F5037"/>
    <w:rsid w:val="006F5A95"/>
    <w:rsid w:val="006F6353"/>
    <w:rsid w:val="006F7D0B"/>
    <w:rsid w:val="00701057"/>
    <w:rsid w:val="007033E9"/>
    <w:rsid w:val="007034AF"/>
    <w:rsid w:val="00703DDE"/>
    <w:rsid w:val="007045ED"/>
    <w:rsid w:val="0070486C"/>
    <w:rsid w:val="007051F2"/>
    <w:rsid w:val="007051FE"/>
    <w:rsid w:val="00710496"/>
    <w:rsid w:val="00711492"/>
    <w:rsid w:val="00715391"/>
    <w:rsid w:val="00715A34"/>
    <w:rsid w:val="00720E86"/>
    <w:rsid w:val="00721A34"/>
    <w:rsid w:val="00721F74"/>
    <w:rsid w:val="007232A7"/>
    <w:rsid w:val="0072564A"/>
    <w:rsid w:val="007321A7"/>
    <w:rsid w:val="007324FF"/>
    <w:rsid w:val="0073358B"/>
    <w:rsid w:val="00734C2C"/>
    <w:rsid w:val="00734DCF"/>
    <w:rsid w:val="0073500C"/>
    <w:rsid w:val="007354F0"/>
    <w:rsid w:val="007379B0"/>
    <w:rsid w:val="00737DC6"/>
    <w:rsid w:val="00740A87"/>
    <w:rsid w:val="0074104A"/>
    <w:rsid w:val="00742AA7"/>
    <w:rsid w:val="00742CB4"/>
    <w:rsid w:val="00743639"/>
    <w:rsid w:val="007439DA"/>
    <w:rsid w:val="007446C4"/>
    <w:rsid w:val="00744788"/>
    <w:rsid w:val="00745163"/>
    <w:rsid w:val="00747B10"/>
    <w:rsid w:val="0075028B"/>
    <w:rsid w:val="0075051B"/>
    <w:rsid w:val="00751038"/>
    <w:rsid w:val="00751D05"/>
    <w:rsid w:val="007538E9"/>
    <w:rsid w:val="0075482F"/>
    <w:rsid w:val="007560C1"/>
    <w:rsid w:val="007572CF"/>
    <w:rsid w:val="007610AD"/>
    <w:rsid w:val="00763396"/>
    <w:rsid w:val="00764145"/>
    <w:rsid w:val="007648FF"/>
    <w:rsid w:val="00765298"/>
    <w:rsid w:val="007657CD"/>
    <w:rsid w:val="00765E58"/>
    <w:rsid w:val="0076676B"/>
    <w:rsid w:val="007671DA"/>
    <w:rsid w:val="00767A71"/>
    <w:rsid w:val="0077141D"/>
    <w:rsid w:val="00771E6C"/>
    <w:rsid w:val="00771FE8"/>
    <w:rsid w:val="00772210"/>
    <w:rsid w:val="00773FEC"/>
    <w:rsid w:val="00775E2A"/>
    <w:rsid w:val="00776000"/>
    <w:rsid w:val="0077615F"/>
    <w:rsid w:val="0077725B"/>
    <w:rsid w:val="00777301"/>
    <w:rsid w:val="00777A0F"/>
    <w:rsid w:val="00777E2C"/>
    <w:rsid w:val="00780B13"/>
    <w:rsid w:val="00780DFE"/>
    <w:rsid w:val="00782016"/>
    <w:rsid w:val="00784089"/>
    <w:rsid w:val="00784565"/>
    <w:rsid w:val="007863CB"/>
    <w:rsid w:val="00786D3B"/>
    <w:rsid w:val="007901BE"/>
    <w:rsid w:val="0079142B"/>
    <w:rsid w:val="0079195E"/>
    <w:rsid w:val="00791A53"/>
    <w:rsid w:val="00791B1D"/>
    <w:rsid w:val="007923E4"/>
    <w:rsid w:val="0079351E"/>
    <w:rsid w:val="007949EB"/>
    <w:rsid w:val="00794B47"/>
    <w:rsid w:val="00794BEA"/>
    <w:rsid w:val="007954FE"/>
    <w:rsid w:val="00796328"/>
    <w:rsid w:val="00797635"/>
    <w:rsid w:val="007A1462"/>
    <w:rsid w:val="007A17EF"/>
    <w:rsid w:val="007A27A5"/>
    <w:rsid w:val="007A282F"/>
    <w:rsid w:val="007A3438"/>
    <w:rsid w:val="007A5611"/>
    <w:rsid w:val="007A739A"/>
    <w:rsid w:val="007B0549"/>
    <w:rsid w:val="007B1EEF"/>
    <w:rsid w:val="007B4487"/>
    <w:rsid w:val="007B5168"/>
    <w:rsid w:val="007B56E0"/>
    <w:rsid w:val="007B5A50"/>
    <w:rsid w:val="007B619C"/>
    <w:rsid w:val="007B61D9"/>
    <w:rsid w:val="007B655A"/>
    <w:rsid w:val="007B662D"/>
    <w:rsid w:val="007B70C4"/>
    <w:rsid w:val="007B7165"/>
    <w:rsid w:val="007B792D"/>
    <w:rsid w:val="007C0369"/>
    <w:rsid w:val="007C297D"/>
    <w:rsid w:val="007C2C5B"/>
    <w:rsid w:val="007C3B01"/>
    <w:rsid w:val="007C468A"/>
    <w:rsid w:val="007C4C93"/>
    <w:rsid w:val="007C5DFD"/>
    <w:rsid w:val="007C6C66"/>
    <w:rsid w:val="007C6ED6"/>
    <w:rsid w:val="007C7154"/>
    <w:rsid w:val="007C7533"/>
    <w:rsid w:val="007D16EA"/>
    <w:rsid w:val="007D1A4B"/>
    <w:rsid w:val="007D1B01"/>
    <w:rsid w:val="007D277D"/>
    <w:rsid w:val="007D2BB1"/>
    <w:rsid w:val="007D46F8"/>
    <w:rsid w:val="007D49C0"/>
    <w:rsid w:val="007D4B53"/>
    <w:rsid w:val="007D74DD"/>
    <w:rsid w:val="007D7EEB"/>
    <w:rsid w:val="007E31A1"/>
    <w:rsid w:val="007E3437"/>
    <w:rsid w:val="007E4D68"/>
    <w:rsid w:val="007E5497"/>
    <w:rsid w:val="007E5769"/>
    <w:rsid w:val="007E6467"/>
    <w:rsid w:val="007E6B58"/>
    <w:rsid w:val="007F1C5E"/>
    <w:rsid w:val="007F2BEC"/>
    <w:rsid w:val="007F38AE"/>
    <w:rsid w:val="007F3E64"/>
    <w:rsid w:val="007F4739"/>
    <w:rsid w:val="007F4924"/>
    <w:rsid w:val="007F6373"/>
    <w:rsid w:val="007F6E07"/>
    <w:rsid w:val="007F6E43"/>
    <w:rsid w:val="007F7533"/>
    <w:rsid w:val="007F7A87"/>
    <w:rsid w:val="00800D96"/>
    <w:rsid w:val="0080151A"/>
    <w:rsid w:val="00802F10"/>
    <w:rsid w:val="00803404"/>
    <w:rsid w:val="00803650"/>
    <w:rsid w:val="0080583D"/>
    <w:rsid w:val="008065AB"/>
    <w:rsid w:val="008066A9"/>
    <w:rsid w:val="008073E5"/>
    <w:rsid w:val="0080771B"/>
    <w:rsid w:val="0081264D"/>
    <w:rsid w:val="0081319D"/>
    <w:rsid w:val="00814B77"/>
    <w:rsid w:val="00815136"/>
    <w:rsid w:val="0081538A"/>
    <w:rsid w:val="0081736E"/>
    <w:rsid w:val="0082094A"/>
    <w:rsid w:val="00821D87"/>
    <w:rsid w:val="008233DF"/>
    <w:rsid w:val="0083039F"/>
    <w:rsid w:val="008310E6"/>
    <w:rsid w:val="00833AC4"/>
    <w:rsid w:val="00833BF3"/>
    <w:rsid w:val="00835D18"/>
    <w:rsid w:val="008370AD"/>
    <w:rsid w:val="00837ABC"/>
    <w:rsid w:val="0084097D"/>
    <w:rsid w:val="00840B1F"/>
    <w:rsid w:val="00842116"/>
    <w:rsid w:val="008424C4"/>
    <w:rsid w:val="008435BF"/>
    <w:rsid w:val="00844D52"/>
    <w:rsid w:val="00844E9E"/>
    <w:rsid w:val="008450C4"/>
    <w:rsid w:val="00845C8D"/>
    <w:rsid w:val="0084688A"/>
    <w:rsid w:val="00846A1C"/>
    <w:rsid w:val="00846EAD"/>
    <w:rsid w:val="00850B7F"/>
    <w:rsid w:val="00850BDB"/>
    <w:rsid w:val="00851AE0"/>
    <w:rsid w:val="00852304"/>
    <w:rsid w:val="008526F1"/>
    <w:rsid w:val="00852CB2"/>
    <w:rsid w:val="008543A1"/>
    <w:rsid w:val="0085559E"/>
    <w:rsid w:val="00857D2F"/>
    <w:rsid w:val="00860338"/>
    <w:rsid w:val="0086333E"/>
    <w:rsid w:val="0086386F"/>
    <w:rsid w:val="00863E34"/>
    <w:rsid w:val="00864B00"/>
    <w:rsid w:val="00865E82"/>
    <w:rsid w:val="008665E3"/>
    <w:rsid w:val="00866A6E"/>
    <w:rsid w:val="00870E40"/>
    <w:rsid w:val="0087150A"/>
    <w:rsid w:val="00871FC4"/>
    <w:rsid w:val="00874BB7"/>
    <w:rsid w:val="00874C64"/>
    <w:rsid w:val="00874EC6"/>
    <w:rsid w:val="00875113"/>
    <w:rsid w:val="008772B4"/>
    <w:rsid w:val="008775C3"/>
    <w:rsid w:val="00877647"/>
    <w:rsid w:val="00880130"/>
    <w:rsid w:val="00880296"/>
    <w:rsid w:val="008809D3"/>
    <w:rsid w:val="00881266"/>
    <w:rsid w:val="00882092"/>
    <w:rsid w:val="00882198"/>
    <w:rsid w:val="00882C84"/>
    <w:rsid w:val="00882D7A"/>
    <w:rsid w:val="00884293"/>
    <w:rsid w:val="00884699"/>
    <w:rsid w:val="00884E80"/>
    <w:rsid w:val="00884EA8"/>
    <w:rsid w:val="00885955"/>
    <w:rsid w:val="00885DC7"/>
    <w:rsid w:val="00885EC9"/>
    <w:rsid w:val="0088744C"/>
    <w:rsid w:val="00891314"/>
    <w:rsid w:val="0089189A"/>
    <w:rsid w:val="008921D1"/>
    <w:rsid w:val="00892ACA"/>
    <w:rsid w:val="00893151"/>
    <w:rsid w:val="00893C61"/>
    <w:rsid w:val="008947B4"/>
    <w:rsid w:val="00894BDB"/>
    <w:rsid w:val="00895C06"/>
    <w:rsid w:val="00895C79"/>
    <w:rsid w:val="008965AC"/>
    <w:rsid w:val="008A316B"/>
    <w:rsid w:val="008A38D2"/>
    <w:rsid w:val="008A3A02"/>
    <w:rsid w:val="008A468A"/>
    <w:rsid w:val="008A46DF"/>
    <w:rsid w:val="008A48E9"/>
    <w:rsid w:val="008A4ED5"/>
    <w:rsid w:val="008A708D"/>
    <w:rsid w:val="008B12E7"/>
    <w:rsid w:val="008B201A"/>
    <w:rsid w:val="008B301A"/>
    <w:rsid w:val="008B3F79"/>
    <w:rsid w:val="008B4DFB"/>
    <w:rsid w:val="008B6738"/>
    <w:rsid w:val="008B75E7"/>
    <w:rsid w:val="008B7A98"/>
    <w:rsid w:val="008C0772"/>
    <w:rsid w:val="008C16C1"/>
    <w:rsid w:val="008C20EE"/>
    <w:rsid w:val="008C4BA5"/>
    <w:rsid w:val="008C4F26"/>
    <w:rsid w:val="008C53E8"/>
    <w:rsid w:val="008C6B62"/>
    <w:rsid w:val="008D02EB"/>
    <w:rsid w:val="008D0EC0"/>
    <w:rsid w:val="008D1379"/>
    <w:rsid w:val="008D2B1D"/>
    <w:rsid w:val="008D3085"/>
    <w:rsid w:val="008D4161"/>
    <w:rsid w:val="008D6909"/>
    <w:rsid w:val="008D7694"/>
    <w:rsid w:val="008D7B19"/>
    <w:rsid w:val="008D7CD4"/>
    <w:rsid w:val="008D7CE5"/>
    <w:rsid w:val="008D7ECA"/>
    <w:rsid w:val="008E077C"/>
    <w:rsid w:val="008E1D3C"/>
    <w:rsid w:val="008E1E6D"/>
    <w:rsid w:val="008E1F42"/>
    <w:rsid w:val="008E28C7"/>
    <w:rsid w:val="008E36C8"/>
    <w:rsid w:val="008E4BC1"/>
    <w:rsid w:val="008E4F33"/>
    <w:rsid w:val="008E500C"/>
    <w:rsid w:val="008E63A3"/>
    <w:rsid w:val="008E6626"/>
    <w:rsid w:val="008E68C7"/>
    <w:rsid w:val="008E799D"/>
    <w:rsid w:val="008E7BA2"/>
    <w:rsid w:val="008F01A2"/>
    <w:rsid w:val="008F07A8"/>
    <w:rsid w:val="008F07D7"/>
    <w:rsid w:val="008F112E"/>
    <w:rsid w:val="008F135B"/>
    <w:rsid w:val="008F1D40"/>
    <w:rsid w:val="008F405D"/>
    <w:rsid w:val="008F698D"/>
    <w:rsid w:val="008F72E8"/>
    <w:rsid w:val="00902AD1"/>
    <w:rsid w:val="00902FE9"/>
    <w:rsid w:val="009036CF"/>
    <w:rsid w:val="0090514C"/>
    <w:rsid w:val="00905CDC"/>
    <w:rsid w:val="0090789D"/>
    <w:rsid w:val="00910191"/>
    <w:rsid w:val="00910A25"/>
    <w:rsid w:val="009114D3"/>
    <w:rsid w:val="00912126"/>
    <w:rsid w:val="00913ABE"/>
    <w:rsid w:val="009145C1"/>
    <w:rsid w:val="00914F2B"/>
    <w:rsid w:val="00917603"/>
    <w:rsid w:val="00920407"/>
    <w:rsid w:val="00921785"/>
    <w:rsid w:val="009217DE"/>
    <w:rsid w:val="00921C58"/>
    <w:rsid w:val="009221B2"/>
    <w:rsid w:val="00922E1B"/>
    <w:rsid w:val="00923FEA"/>
    <w:rsid w:val="00924068"/>
    <w:rsid w:val="009246D7"/>
    <w:rsid w:val="0092548F"/>
    <w:rsid w:val="00925D02"/>
    <w:rsid w:val="00926088"/>
    <w:rsid w:val="00927946"/>
    <w:rsid w:val="00933129"/>
    <w:rsid w:val="00933B46"/>
    <w:rsid w:val="00933DBA"/>
    <w:rsid w:val="009352ED"/>
    <w:rsid w:val="009362A1"/>
    <w:rsid w:val="009400A3"/>
    <w:rsid w:val="009414D6"/>
    <w:rsid w:val="009419B9"/>
    <w:rsid w:val="00947590"/>
    <w:rsid w:val="00947C1E"/>
    <w:rsid w:val="009504FB"/>
    <w:rsid w:val="0095100D"/>
    <w:rsid w:val="00951EB1"/>
    <w:rsid w:val="00952257"/>
    <w:rsid w:val="009545FC"/>
    <w:rsid w:val="009548E0"/>
    <w:rsid w:val="00955073"/>
    <w:rsid w:val="009556E2"/>
    <w:rsid w:val="009567B2"/>
    <w:rsid w:val="0095702D"/>
    <w:rsid w:val="009578DA"/>
    <w:rsid w:val="00960CEA"/>
    <w:rsid w:val="009612A6"/>
    <w:rsid w:val="00962793"/>
    <w:rsid w:val="00962ED0"/>
    <w:rsid w:val="0096326E"/>
    <w:rsid w:val="00963A1E"/>
    <w:rsid w:val="00963B20"/>
    <w:rsid w:val="00964401"/>
    <w:rsid w:val="00964DA7"/>
    <w:rsid w:val="009651D3"/>
    <w:rsid w:val="00965AE5"/>
    <w:rsid w:val="009664F0"/>
    <w:rsid w:val="0096776C"/>
    <w:rsid w:val="00967948"/>
    <w:rsid w:val="00971234"/>
    <w:rsid w:val="00972C4D"/>
    <w:rsid w:val="0097443E"/>
    <w:rsid w:val="00974FCD"/>
    <w:rsid w:val="00975C46"/>
    <w:rsid w:val="009771DD"/>
    <w:rsid w:val="009804E4"/>
    <w:rsid w:val="00980D7F"/>
    <w:rsid w:val="009810CF"/>
    <w:rsid w:val="009819AA"/>
    <w:rsid w:val="00981CDC"/>
    <w:rsid w:val="0098251F"/>
    <w:rsid w:val="009855F7"/>
    <w:rsid w:val="009866E9"/>
    <w:rsid w:val="0098742C"/>
    <w:rsid w:val="00990C4F"/>
    <w:rsid w:val="00991281"/>
    <w:rsid w:val="00991496"/>
    <w:rsid w:val="00991A14"/>
    <w:rsid w:val="00992ECC"/>
    <w:rsid w:val="00993450"/>
    <w:rsid w:val="00993880"/>
    <w:rsid w:val="00994B1C"/>
    <w:rsid w:val="00994BDD"/>
    <w:rsid w:val="009A1D06"/>
    <w:rsid w:val="009A274A"/>
    <w:rsid w:val="009A391D"/>
    <w:rsid w:val="009A3981"/>
    <w:rsid w:val="009A4B4B"/>
    <w:rsid w:val="009A7217"/>
    <w:rsid w:val="009B18D2"/>
    <w:rsid w:val="009B380A"/>
    <w:rsid w:val="009B62CF"/>
    <w:rsid w:val="009B7640"/>
    <w:rsid w:val="009C129F"/>
    <w:rsid w:val="009C2D14"/>
    <w:rsid w:val="009C2F6F"/>
    <w:rsid w:val="009C52B4"/>
    <w:rsid w:val="009C63ED"/>
    <w:rsid w:val="009C76E9"/>
    <w:rsid w:val="009D0376"/>
    <w:rsid w:val="009D0B77"/>
    <w:rsid w:val="009D14DB"/>
    <w:rsid w:val="009D1908"/>
    <w:rsid w:val="009D2BA4"/>
    <w:rsid w:val="009D3CAB"/>
    <w:rsid w:val="009D44F5"/>
    <w:rsid w:val="009D46CB"/>
    <w:rsid w:val="009D4909"/>
    <w:rsid w:val="009D747C"/>
    <w:rsid w:val="009E0939"/>
    <w:rsid w:val="009E263D"/>
    <w:rsid w:val="009E29A7"/>
    <w:rsid w:val="009E50AB"/>
    <w:rsid w:val="009E5BA6"/>
    <w:rsid w:val="009E6380"/>
    <w:rsid w:val="009F0E0E"/>
    <w:rsid w:val="009F157D"/>
    <w:rsid w:val="009F4B20"/>
    <w:rsid w:val="009F4B25"/>
    <w:rsid w:val="009F56A7"/>
    <w:rsid w:val="009F65C9"/>
    <w:rsid w:val="009F66A4"/>
    <w:rsid w:val="009F7EAE"/>
    <w:rsid w:val="00A0003A"/>
    <w:rsid w:val="00A000F7"/>
    <w:rsid w:val="00A00CE3"/>
    <w:rsid w:val="00A018DA"/>
    <w:rsid w:val="00A01CB1"/>
    <w:rsid w:val="00A01D85"/>
    <w:rsid w:val="00A02A10"/>
    <w:rsid w:val="00A02AD5"/>
    <w:rsid w:val="00A03967"/>
    <w:rsid w:val="00A04072"/>
    <w:rsid w:val="00A0472A"/>
    <w:rsid w:val="00A061C3"/>
    <w:rsid w:val="00A06D67"/>
    <w:rsid w:val="00A073E0"/>
    <w:rsid w:val="00A07C08"/>
    <w:rsid w:val="00A1098C"/>
    <w:rsid w:val="00A10DF9"/>
    <w:rsid w:val="00A118F7"/>
    <w:rsid w:val="00A11C86"/>
    <w:rsid w:val="00A142A0"/>
    <w:rsid w:val="00A14497"/>
    <w:rsid w:val="00A1480F"/>
    <w:rsid w:val="00A14EC5"/>
    <w:rsid w:val="00A15118"/>
    <w:rsid w:val="00A15183"/>
    <w:rsid w:val="00A165F0"/>
    <w:rsid w:val="00A16B79"/>
    <w:rsid w:val="00A20A68"/>
    <w:rsid w:val="00A20C06"/>
    <w:rsid w:val="00A213C5"/>
    <w:rsid w:val="00A21699"/>
    <w:rsid w:val="00A22481"/>
    <w:rsid w:val="00A2292C"/>
    <w:rsid w:val="00A2483F"/>
    <w:rsid w:val="00A250DC"/>
    <w:rsid w:val="00A25C67"/>
    <w:rsid w:val="00A26576"/>
    <w:rsid w:val="00A27E76"/>
    <w:rsid w:val="00A316C7"/>
    <w:rsid w:val="00A32B56"/>
    <w:rsid w:val="00A337AD"/>
    <w:rsid w:val="00A340F9"/>
    <w:rsid w:val="00A349D2"/>
    <w:rsid w:val="00A35C19"/>
    <w:rsid w:val="00A3631D"/>
    <w:rsid w:val="00A37CC0"/>
    <w:rsid w:val="00A40112"/>
    <w:rsid w:val="00A420C0"/>
    <w:rsid w:val="00A42DD1"/>
    <w:rsid w:val="00A44D6F"/>
    <w:rsid w:val="00A46EFD"/>
    <w:rsid w:val="00A50428"/>
    <w:rsid w:val="00A50942"/>
    <w:rsid w:val="00A52448"/>
    <w:rsid w:val="00A5262B"/>
    <w:rsid w:val="00A52893"/>
    <w:rsid w:val="00A52CEB"/>
    <w:rsid w:val="00A53FCF"/>
    <w:rsid w:val="00A54BC9"/>
    <w:rsid w:val="00A555E9"/>
    <w:rsid w:val="00A56C09"/>
    <w:rsid w:val="00A61328"/>
    <w:rsid w:val="00A61522"/>
    <w:rsid w:val="00A61FA6"/>
    <w:rsid w:val="00A71C1F"/>
    <w:rsid w:val="00A72C8C"/>
    <w:rsid w:val="00A76704"/>
    <w:rsid w:val="00A76F09"/>
    <w:rsid w:val="00A77D44"/>
    <w:rsid w:val="00A810E2"/>
    <w:rsid w:val="00A81557"/>
    <w:rsid w:val="00A849D4"/>
    <w:rsid w:val="00A84AB2"/>
    <w:rsid w:val="00A85607"/>
    <w:rsid w:val="00A85643"/>
    <w:rsid w:val="00A903E2"/>
    <w:rsid w:val="00A90536"/>
    <w:rsid w:val="00A91C8A"/>
    <w:rsid w:val="00A922B5"/>
    <w:rsid w:val="00A9449E"/>
    <w:rsid w:val="00A94FF7"/>
    <w:rsid w:val="00A9535D"/>
    <w:rsid w:val="00A9699F"/>
    <w:rsid w:val="00AA24F3"/>
    <w:rsid w:val="00AA266F"/>
    <w:rsid w:val="00AA371C"/>
    <w:rsid w:val="00AA48C2"/>
    <w:rsid w:val="00AA54E1"/>
    <w:rsid w:val="00AA582A"/>
    <w:rsid w:val="00AA5E91"/>
    <w:rsid w:val="00AA72CA"/>
    <w:rsid w:val="00AA7BFC"/>
    <w:rsid w:val="00AB01B5"/>
    <w:rsid w:val="00AB160C"/>
    <w:rsid w:val="00AB4287"/>
    <w:rsid w:val="00AB468D"/>
    <w:rsid w:val="00AB6218"/>
    <w:rsid w:val="00AC0152"/>
    <w:rsid w:val="00AC3449"/>
    <w:rsid w:val="00AC38A0"/>
    <w:rsid w:val="00AC5A8B"/>
    <w:rsid w:val="00AC60EA"/>
    <w:rsid w:val="00AC6180"/>
    <w:rsid w:val="00AD19D8"/>
    <w:rsid w:val="00AD48C6"/>
    <w:rsid w:val="00AD5016"/>
    <w:rsid w:val="00AD5519"/>
    <w:rsid w:val="00AD69B6"/>
    <w:rsid w:val="00AD6CA2"/>
    <w:rsid w:val="00AD7D8F"/>
    <w:rsid w:val="00AE01CF"/>
    <w:rsid w:val="00AE1047"/>
    <w:rsid w:val="00AE12E4"/>
    <w:rsid w:val="00AE13B6"/>
    <w:rsid w:val="00AE2A67"/>
    <w:rsid w:val="00AE2F43"/>
    <w:rsid w:val="00AE4E72"/>
    <w:rsid w:val="00AE4E73"/>
    <w:rsid w:val="00AE695E"/>
    <w:rsid w:val="00AF1029"/>
    <w:rsid w:val="00AF13BE"/>
    <w:rsid w:val="00AF169B"/>
    <w:rsid w:val="00AF454B"/>
    <w:rsid w:val="00AF4D29"/>
    <w:rsid w:val="00AF4DB8"/>
    <w:rsid w:val="00AF5FD8"/>
    <w:rsid w:val="00AF66F2"/>
    <w:rsid w:val="00AF7BFA"/>
    <w:rsid w:val="00B00F9D"/>
    <w:rsid w:val="00B01734"/>
    <w:rsid w:val="00B03007"/>
    <w:rsid w:val="00B03B32"/>
    <w:rsid w:val="00B0543A"/>
    <w:rsid w:val="00B05F72"/>
    <w:rsid w:val="00B064F0"/>
    <w:rsid w:val="00B067C1"/>
    <w:rsid w:val="00B06F58"/>
    <w:rsid w:val="00B07BD4"/>
    <w:rsid w:val="00B119E0"/>
    <w:rsid w:val="00B12D42"/>
    <w:rsid w:val="00B148F5"/>
    <w:rsid w:val="00B1536E"/>
    <w:rsid w:val="00B15920"/>
    <w:rsid w:val="00B16A57"/>
    <w:rsid w:val="00B173A2"/>
    <w:rsid w:val="00B20F63"/>
    <w:rsid w:val="00B224AD"/>
    <w:rsid w:val="00B2307A"/>
    <w:rsid w:val="00B2550C"/>
    <w:rsid w:val="00B26ACA"/>
    <w:rsid w:val="00B27CC6"/>
    <w:rsid w:val="00B312E5"/>
    <w:rsid w:val="00B3360F"/>
    <w:rsid w:val="00B33CC0"/>
    <w:rsid w:val="00B35593"/>
    <w:rsid w:val="00B36133"/>
    <w:rsid w:val="00B364E8"/>
    <w:rsid w:val="00B368D9"/>
    <w:rsid w:val="00B36F39"/>
    <w:rsid w:val="00B40D4E"/>
    <w:rsid w:val="00B42340"/>
    <w:rsid w:val="00B45971"/>
    <w:rsid w:val="00B459C7"/>
    <w:rsid w:val="00B45C02"/>
    <w:rsid w:val="00B47E4F"/>
    <w:rsid w:val="00B5038B"/>
    <w:rsid w:val="00B516DB"/>
    <w:rsid w:val="00B5170D"/>
    <w:rsid w:val="00B5175E"/>
    <w:rsid w:val="00B52160"/>
    <w:rsid w:val="00B5219F"/>
    <w:rsid w:val="00B53999"/>
    <w:rsid w:val="00B539C2"/>
    <w:rsid w:val="00B541AD"/>
    <w:rsid w:val="00B5692A"/>
    <w:rsid w:val="00B56953"/>
    <w:rsid w:val="00B606AB"/>
    <w:rsid w:val="00B61AE1"/>
    <w:rsid w:val="00B62F25"/>
    <w:rsid w:val="00B6331F"/>
    <w:rsid w:val="00B63D1F"/>
    <w:rsid w:val="00B651F4"/>
    <w:rsid w:val="00B65B8E"/>
    <w:rsid w:val="00B65DB3"/>
    <w:rsid w:val="00B671BA"/>
    <w:rsid w:val="00B70F23"/>
    <w:rsid w:val="00B73FC4"/>
    <w:rsid w:val="00B74428"/>
    <w:rsid w:val="00B752D8"/>
    <w:rsid w:val="00B77D88"/>
    <w:rsid w:val="00B81204"/>
    <w:rsid w:val="00B8178C"/>
    <w:rsid w:val="00B818B7"/>
    <w:rsid w:val="00B826E7"/>
    <w:rsid w:val="00B83AB8"/>
    <w:rsid w:val="00B861C5"/>
    <w:rsid w:val="00B86AC8"/>
    <w:rsid w:val="00B86ADE"/>
    <w:rsid w:val="00B900EB"/>
    <w:rsid w:val="00B94B94"/>
    <w:rsid w:val="00B95410"/>
    <w:rsid w:val="00B9546A"/>
    <w:rsid w:val="00B95610"/>
    <w:rsid w:val="00B95D04"/>
    <w:rsid w:val="00B97969"/>
    <w:rsid w:val="00BA17AE"/>
    <w:rsid w:val="00BA27ED"/>
    <w:rsid w:val="00BA355C"/>
    <w:rsid w:val="00BA3874"/>
    <w:rsid w:val="00BA572F"/>
    <w:rsid w:val="00BA5E91"/>
    <w:rsid w:val="00BA61D9"/>
    <w:rsid w:val="00BA7B04"/>
    <w:rsid w:val="00BB348C"/>
    <w:rsid w:val="00BB3AB7"/>
    <w:rsid w:val="00BB4663"/>
    <w:rsid w:val="00BB5071"/>
    <w:rsid w:val="00BB797C"/>
    <w:rsid w:val="00BB7B42"/>
    <w:rsid w:val="00BC0DE0"/>
    <w:rsid w:val="00BC1AE7"/>
    <w:rsid w:val="00BC47D6"/>
    <w:rsid w:val="00BC4C36"/>
    <w:rsid w:val="00BC5498"/>
    <w:rsid w:val="00BC5AB2"/>
    <w:rsid w:val="00BC5C18"/>
    <w:rsid w:val="00BC5EAB"/>
    <w:rsid w:val="00BC60A1"/>
    <w:rsid w:val="00BC69DD"/>
    <w:rsid w:val="00BC7E78"/>
    <w:rsid w:val="00BD0361"/>
    <w:rsid w:val="00BD09C9"/>
    <w:rsid w:val="00BD0C89"/>
    <w:rsid w:val="00BD10DC"/>
    <w:rsid w:val="00BD2F2A"/>
    <w:rsid w:val="00BD3DB9"/>
    <w:rsid w:val="00BD4DDE"/>
    <w:rsid w:val="00BD5349"/>
    <w:rsid w:val="00BD55D9"/>
    <w:rsid w:val="00BD5FA1"/>
    <w:rsid w:val="00BD7A8D"/>
    <w:rsid w:val="00BE00CB"/>
    <w:rsid w:val="00BE0333"/>
    <w:rsid w:val="00BE0779"/>
    <w:rsid w:val="00BE113D"/>
    <w:rsid w:val="00BE21C1"/>
    <w:rsid w:val="00BE389B"/>
    <w:rsid w:val="00BE4F76"/>
    <w:rsid w:val="00BE5B07"/>
    <w:rsid w:val="00BE6E39"/>
    <w:rsid w:val="00BE71A6"/>
    <w:rsid w:val="00BE745E"/>
    <w:rsid w:val="00BF057C"/>
    <w:rsid w:val="00BF3024"/>
    <w:rsid w:val="00BF3753"/>
    <w:rsid w:val="00BF4203"/>
    <w:rsid w:val="00BF440C"/>
    <w:rsid w:val="00BF5825"/>
    <w:rsid w:val="00C01895"/>
    <w:rsid w:val="00C0200D"/>
    <w:rsid w:val="00C022C5"/>
    <w:rsid w:val="00C040B4"/>
    <w:rsid w:val="00C0632E"/>
    <w:rsid w:val="00C07627"/>
    <w:rsid w:val="00C07636"/>
    <w:rsid w:val="00C079E0"/>
    <w:rsid w:val="00C116BA"/>
    <w:rsid w:val="00C11ECD"/>
    <w:rsid w:val="00C13B9B"/>
    <w:rsid w:val="00C1453A"/>
    <w:rsid w:val="00C147A4"/>
    <w:rsid w:val="00C14D7C"/>
    <w:rsid w:val="00C15072"/>
    <w:rsid w:val="00C1570E"/>
    <w:rsid w:val="00C15820"/>
    <w:rsid w:val="00C159BE"/>
    <w:rsid w:val="00C1636F"/>
    <w:rsid w:val="00C20AC0"/>
    <w:rsid w:val="00C20DD0"/>
    <w:rsid w:val="00C21E84"/>
    <w:rsid w:val="00C224F5"/>
    <w:rsid w:val="00C22FA2"/>
    <w:rsid w:val="00C23BF5"/>
    <w:rsid w:val="00C24475"/>
    <w:rsid w:val="00C2648A"/>
    <w:rsid w:val="00C27236"/>
    <w:rsid w:val="00C305EB"/>
    <w:rsid w:val="00C31808"/>
    <w:rsid w:val="00C31AAA"/>
    <w:rsid w:val="00C34945"/>
    <w:rsid w:val="00C3576C"/>
    <w:rsid w:val="00C36633"/>
    <w:rsid w:val="00C37929"/>
    <w:rsid w:val="00C41008"/>
    <w:rsid w:val="00C41DA9"/>
    <w:rsid w:val="00C44D27"/>
    <w:rsid w:val="00C463B3"/>
    <w:rsid w:val="00C470B6"/>
    <w:rsid w:val="00C50A7C"/>
    <w:rsid w:val="00C50D1E"/>
    <w:rsid w:val="00C522B9"/>
    <w:rsid w:val="00C53A89"/>
    <w:rsid w:val="00C558FC"/>
    <w:rsid w:val="00C55ACB"/>
    <w:rsid w:val="00C56559"/>
    <w:rsid w:val="00C57033"/>
    <w:rsid w:val="00C578D6"/>
    <w:rsid w:val="00C6070B"/>
    <w:rsid w:val="00C60872"/>
    <w:rsid w:val="00C613A0"/>
    <w:rsid w:val="00C61B26"/>
    <w:rsid w:val="00C64153"/>
    <w:rsid w:val="00C641F7"/>
    <w:rsid w:val="00C64726"/>
    <w:rsid w:val="00C659F0"/>
    <w:rsid w:val="00C66696"/>
    <w:rsid w:val="00C67F14"/>
    <w:rsid w:val="00C73FB8"/>
    <w:rsid w:val="00C74641"/>
    <w:rsid w:val="00C75F51"/>
    <w:rsid w:val="00C764EF"/>
    <w:rsid w:val="00C767E5"/>
    <w:rsid w:val="00C7684A"/>
    <w:rsid w:val="00C76E68"/>
    <w:rsid w:val="00C77361"/>
    <w:rsid w:val="00C77D58"/>
    <w:rsid w:val="00C81A20"/>
    <w:rsid w:val="00C82878"/>
    <w:rsid w:val="00C837A7"/>
    <w:rsid w:val="00C85411"/>
    <w:rsid w:val="00C85B8C"/>
    <w:rsid w:val="00C90282"/>
    <w:rsid w:val="00C90A27"/>
    <w:rsid w:val="00C9184A"/>
    <w:rsid w:val="00C91A33"/>
    <w:rsid w:val="00C93198"/>
    <w:rsid w:val="00C931D4"/>
    <w:rsid w:val="00C941CC"/>
    <w:rsid w:val="00C94651"/>
    <w:rsid w:val="00C95276"/>
    <w:rsid w:val="00C95B4E"/>
    <w:rsid w:val="00C9615E"/>
    <w:rsid w:val="00CA1815"/>
    <w:rsid w:val="00CA2B39"/>
    <w:rsid w:val="00CA2BD2"/>
    <w:rsid w:val="00CA38EF"/>
    <w:rsid w:val="00CA3A43"/>
    <w:rsid w:val="00CA4364"/>
    <w:rsid w:val="00CA50F0"/>
    <w:rsid w:val="00CA5482"/>
    <w:rsid w:val="00CA6399"/>
    <w:rsid w:val="00CA6A5B"/>
    <w:rsid w:val="00CA7EFA"/>
    <w:rsid w:val="00CB395A"/>
    <w:rsid w:val="00CB64A8"/>
    <w:rsid w:val="00CB6E42"/>
    <w:rsid w:val="00CC21C1"/>
    <w:rsid w:val="00CC3C69"/>
    <w:rsid w:val="00CC3D19"/>
    <w:rsid w:val="00CC49B0"/>
    <w:rsid w:val="00CC49E5"/>
    <w:rsid w:val="00CC6901"/>
    <w:rsid w:val="00CC6E97"/>
    <w:rsid w:val="00CC75DA"/>
    <w:rsid w:val="00CD0FFD"/>
    <w:rsid w:val="00CD101A"/>
    <w:rsid w:val="00CD123E"/>
    <w:rsid w:val="00CD24DC"/>
    <w:rsid w:val="00CD25F1"/>
    <w:rsid w:val="00CD2F4B"/>
    <w:rsid w:val="00CD3684"/>
    <w:rsid w:val="00CD4132"/>
    <w:rsid w:val="00CD4176"/>
    <w:rsid w:val="00CD4423"/>
    <w:rsid w:val="00CE4D32"/>
    <w:rsid w:val="00CE6450"/>
    <w:rsid w:val="00CE6ED5"/>
    <w:rsid w:val="00CE7183"/>
    <w:rsid w:val="00CF098A"/>
    <w:rsid w:val="00CF441E"/>
    <w:rsid w:val="00CF53A1"/>
    <w:rsid w:val="00CF56A2"/>
    <w:rsid w:val="00CF68E7"/>
    <w:rsid w:val="00D0015F"/>
    <w:rsid w:val="00D01657"/>
    <w:rsid w:val="00D02F66"/>
    <w:rsid w:val="00D030E4"/>
    <w:rsid w:val="00D06390"/>
    <w:rsid w:val="00D078D2"/>
    <w:rsid w:val="00D12611"/>
    <w:rsid w:val="00D12669"/>
    <w:rsid w:val="00D12D26"/>
    <w:rsid w:val="00D1416E"/>
    <w:rsid w:val="00D15ACB"/>
    <w:rsid w:val="00D16D25"/>
    <w:rsid w:val="00D21D8B"/>
    <w:rsid w:val="00D2239D"/>
    <w:rsid w:val="00D252F3"/>
    <w:rsid w:val="00D262BC"/>
    <w:rsid w:val="00D30301"/>
    <w:rsid w:val="00D303ED"/>
    <w:rsid w:val="00D30BC0"/>
    <w:rsid w:val="00D30CFA"/>
    <w:rsid w:val="00D316CD"/>
    <w:rsid w:val="00D320A3"/>
    <w:rsid w:val="00D3225B"/>
    <w:rsid w:val="00D32954"/>
    <w:rsid w:val="00D34872"/>
    <w:rsid w:val="00D348D1"/>
    <w:rsid w:val="00D34CDA"/>
    <w:rsid w:val="00D36EB1"/>
    <w:rsid w:val="00D400D0"/>
    <w:rsid w:val="00D4130F"/>
    <w:rsid w:val="00D42453"/>
    <w:rsid w:val="00D435CB"/>
    <w:rsid w:val="00D4703A"/>
    <w:rsid w:val="00D4703B"/>
    <w:rsid w:val="00D47218"/>
    <w:rsid w:val="00D4743B"/>
    <w:rsid w:val="00D4749D"/>
    <w:rsid w:val="00D50149"/>
    <w:rsid w:val="00D53642"/>
    <w:rsid w:val="00D53650"/>
    <w:rsid w:val="00D545B1"/>
    <w:rsid w:val="00D54A51"/>
    <w:rsid w:val="00D551F2"/>
    <w:rsid w:val="00D56C28"/>
    <w:rsid w:val="00D57023"/>
    <w:rsid w:val="00D578A7"/>
    <w:rsid w:val="00D628EA"/>
    <w:rsid w:val="00D63809"/>
    <w:rsid w:val="00D63A35"/>
    <w:rsid w:val="00D64702"/>
    <w:rsid w:val="00D649E3"/>
    <w:rsid w:val="00D65A82"/>
    <w:rsid w:val="00D66EF9"/>
    <w:rsid w:val="00D6788A"/>
    <w:rsid w:val="00D73D86"/>
    <w:rsid w:val="00D74189"/>
    <w:rsid w:val="00D82F3F"/>
    <w:rsid w:val="00D8364E"/>
    <w:rsid w:val="00D8435D"/>
    <w:rsid w:val="00D8479E"/>
    <w:rsid w:val="00D84DCB"/>
    <w:rsid w:val="00D85081"/>
    <w:rsid w:val="00D850B5"/>
    <w:rsid w:val="00D865F8"/>
    <w:rsid w:val="00D87405"/>
    <w:rsid w:val="00D876DC"/>
    <w:rsid w:val="00D90543"/>
    <w:rsid w:val="00D909AB"/>
    <w:rsid w:val="00D9133A"/>
    <w:rsid w:val="00D92445"/>
    <w:rsid w:val="00D92797"/>
    <w:rsid w:val="00D9280F"/>
    <w:rsid w:val="00D930A8"/>
    <w:rsid w:val="00D956DA"/>
    <w:rsid w:val="00D9637F"/>
    <w:rsid w:val="00D96782"/>
    <w:rsid w:val="00D96DF2"/>
    <w:rsid w:val="00D975D2"/>
    <w:rsid w:val="00D97671"/>
    <w:rsid w:val="00DA0966"/>
    <w:rsid w:val="00DA0B28"/>
    <w:rsid w:val="00DA0C28"/>
    <w:rsid w:val="00DA2E84"/>
    <w:rsid w:val="00DA362F"/>
    <w:rsid w:val="00DA3A7E"/>
    <w:rsid w:val="00DA41B3"/>
    <w:rsid w:val="00DA4F75"/>
    <w:rsid w:val="00DA55CA"/>
    <w:rsid w:val="00DA5FF1"/>
    <w:rsid w:val="00DA6F66"/>
    <w:rsid w:val="00DA710D"/>
    <w:rsid w:val="00DB0184"/>
    <w:rsid w:val="00DB0CA7"/>
    <w:rsid w:val="00DB0D6D"/>
    <w:rsid w:val="00DB1DB0"/>
    <w:rsid w:val="00DB29EE"/>
    <w:rsid w:val="00DB3E46"/>
    <w:rsid w:val="00DB5A7F"/>
    <w:rsid w:val="00DB64D3"/>
    <w:rsid w:val="00DC3445"/>
    <w:rsid w:val="00DC3C8B"/>
    <w:rsid w:val="00DC563D"/>
    <w:rsid w:val="00DC692A"/>
    <w:rsid w:val="00DC7500"/>
    <w:rsid w:val="00DC7850"/>
    <w:rsid w:val="00DD15A3"/>
    <w:rsid w:val="00DD3760"/>
    <w:rsid w:val="00DD5865"/>
    <w:rsid w:val="00DD60C6"/>
    <w:rsid w:val="00DD6C6B"/>
    <w:rsid w:val="00DE126E"/>
    <w:rsid w:val="00DE1670"/>
    <w:rsid w:val="00DE1E55"/>
    <w:rsid w:val="00DE2114"/>
    <w:rsid w:val="00DE507A"/>
    <w:rsid w:val="00DE5342"/>
    <w:rsid w:val="00DE77B0"/>
    <w:rsid w:val="00DF16EF"/>
    <w:rsid w:val="00DF3912"/>
    <w:rsid w:val="00DF3CCF"/>
    <w:rsid w:val="00DF44FC"/>
    <w:rsid w:val="00DF643A"/>
    <w:rsid w:val="00DF7613"/>
    <w:rsid w:val="00DF7FE2"/>
    <w:rsid w:val="00E0065E"/>
    <w:rsid w:val="00E01684"/>
    <w:rsid w:val="00E025F4"/>
    <w:rsid w:val="00E036F5"/>
    <w:rsid w:val="00E04E6B"/>
    <w:rsid w:val="00E058B7"/>
    <w:rsid w:val="00E05EEF"/>
    <w:rsid w:val="00E068D4"/>
    <w:rsid w:val="00E0765F"/>
    <w:rsid w:val="00E07C70"/>
    <w:rsid w:val="00E11FF7"/>
    <w:rsid w:val="00E13A67"/>
    <w:rsid w:val="00E15374"/>
    <w:rsid w:val="00E17F0A"/>
    <w:rsid w:val="00E20026"/>
    <w:rsid w:val="00E229B4"/>
    <w:rsid w:val="00E2361A"/>
    <w:rsid w:val="00E23971"/>
    <w:rsid w:val="00E25AE6"/>
    <w:rsid w:val="00E26342"/>
    <w:rsid w:val="00E26666"/>
    <w:rsid w:val="00E26D29"/>
    <w:rsid w:val="00E26EB6"/>
    <w:rsid w:val="00E30DCF"/>
    <w:rsid w:val="00E33925"/>
    <w:rsid w:val="00E34299"/>
    <w:rsid w:val="00E365DC"/>
    <w:rsid w:val="00E36F7D"/>
    <w:rsid w:val="00E37118"/>
    <w:rsid w:val="00E40E8A"/>
    <w:rsid w:val="00E41283"/>
    <w:rsid w:val="00E42686"/>
    <w:rsid w:val="00E44D5A"/>
    <w:rsid w:val="00E45169"/>
    <w:rsid w:val="00E463D3"/>
    <w:rsid w:val="00E4758A"/>
    <w:rsid w:val="00E5332E"/>
    <w:rsid w:val="00E53F3F"/>
    <w:rsid w:val="00E541C8"/>
    <w:rsid w:val="00E54564"/>
    <w:rsid w:val="00E55041"/>
    <w:rsid w:val="00E559ED"/>
    <w:rsid w:val="00E615F4"/>
    <w:rsid w:val="00E63658"/>
    <w:rsid w:val="00E637FB"/>
    <w:rsid w:val="00E638C4"/>
    <w:rsid w:val="00E64A35"/>
    <w:rsid w:val="00E64C85"/>
    <w:rsid w:val="00E65601"/>
    <w:rsid w:val="00E6610E"/>
    <w:rsid w:val="00E66175"/>
    <w:rsid w:val="00E672BA"/>
    <w:rsid w:val="00E67E10"/>
    <w:rsid w:val="00E67F01"/>
    <w:rsid w:val="00E7023E"/>
    <w:rsid w:val="00E75802"/>
    <w:rsid w:val="00E75951"/>
    <w:rsid w:val="00E761D3"/>
    <w:rsid w:val="00E76506"/>
    <w:rsid w:val="00E817D0"/>
    <w:rsid w:val="00E83DD0"/>
    <w:rsid w:val="00E84F64"/>
    <w:rsid w:val="00E85829"/>
    <w:rsid w:val="00E85EB5"/>
    <w:rsid w:val="00E86B1F"/>
    <w:rsid w:val="00E86F5B"/>
    <w:rsid w:val="00E90019"/>
    <w:rsid w:val="00E902F7"/>
    <w:rsid w:val="00E90D0D"/>
    <w:rsid w:val="00E939CA"/>
    <w:rsid w:val="00E944EF"/>
    <w:rsid w:val="00E94C6A"/>
    <w:rsid w:val="00E95644"/>
    <w:rsid w:val="00E96B12"/>
    <w:rsid w:val="00E96D7E"/>
    <w:rsid w:val="00E9753E"/>
    <w:rsid w:val="00E9781E"/>
    <w:rsid w:val="00E97910"/>
    <w:rsid w:val="00EA1803"/>
    <w:rsid w:val="00EA277C"/>
    <w:rsid w:val="00EA2D8A"/>
    <w:rsid w:val="00EA387B"/>
    <w:rsid w:val="00EA5986"/>
    <w:rsid w:val="00EA5AE7"/>
    <w:rsid w:val="00EA7088"/>
    <w:rsid w:val="00EA7D4B"/>
    <w:rsid w:val="00EB00CD"/>
    <w:rsid w:val="00EB024D"/>
    <w:rsid w:val="00EB1500"/>
    <w:rsid w:val="00EB2CB9"/>
    <w:rsid w:val="00EB2CFD"/>
    <w:rsid w:val="00EB3626"/>
    <w:rsid w:val="00EB43A8"/>
    <w:rsid w:val="00EB5830"/>
    <w:rsid w:val="00EB6E02"/>
    <w:rsid w:val="00EB7FBA"/>
    <w:rsid w:val="00EC0955"/>
    <w:rsid w:val="00EC0AEB"/>
    <w:rsid w:val="00EC0C76"/>
    <w:rsid w:val="00EC282F"/>
    <w:rsid w:val="00EC39C9"/>
    <w:rsid w:val="00EC3F25"/>
    <w:rsid w:val="00EC59D8"/>
    <w:rsid w:val="00ED03D2"/>
    <w:rsid w:val="00ED05A5"/>
    <w:rsid w:val="00ED1556"/>
    <w:rsid w:val="00ED28E6"/>
    <w:rsid w:val="00ED4534"/>
    <w:rsid w:val="00ED52A8"/>
    <w:rsid w:val="00ED5FF1"/>
    <w:rsid w:val="00ED6DB5"/>
    <w:rsid w:val="00ED711A"/>
    <w:rsid w:val="00ED76D9"/>
    <w:rsid w:val="00ED7D06"/>
    <w:rsid w:val="00EE0495"/>
    <w:rsid w:val="00EE04BF"/>
    <w:rsid w:val="00EE2596"/>
    <w:rsid w:val="00EE35C5"/>
    <w:rsid w:val="00EE3A05"/>
    <w:rsid w:val="00EE62E7"/>
    <w:rsid w:val="00EE6646"/>
    <w:rsid w:val="00EE6712"/>
    <w:rsid w:val="00EF0A83"/>
    <w:rsid w:val="00EF47D0"/>
    <w:rsid w:val="00EF4B93"/>
    <w:rsid w:val="00EF67A0"/>
    <w:rsid w:val="00EF6923"/>
    <w:rsid w:val="00EF6BC2"/>
    <w:rsid w:val="00EF72AE"/>
    <w:rsid w:val="00EF7562"/>
    <w:rsid w:val="00EF7CAD"/>
    <w:rsid w:val="00F00FB2"/>
    <w:rsid w:val="00F01EAE"/>
    <w:rsid w:val="00F02483"/>
    <w:rsid w:val="00F02927"/>
    <w:rsid w:val="00F02A9D"/>
    <w:rsid w:val="00F03E1A"/>
    <w:rsid w:val="00F04051"/>
    <w:rsid w:val="00F04277"/>
    <w:rsid w:val="00F04351"/>
    <w:rsid w:val="00F04BE8"/>
    <w:rsid w:val="00F05553"/>
    <w:rsid w:val="00F05620"/>
    <w:rsid w:val="00F05934"/>
    <w:rsid w:val="00F05B22"/>
    <w:rsid w:val="00F1054F"/>
    <w:rsid w:val="00F12F34"/>
    <w:rsid w:val="00F1497B"/>
    <w:rsid w:val="00F15085"/>
    <w:rsid w:val="00F161C4"/>
    <w:rsid w:val="00F17A0E"/>
    <w:rsid w:val="00F17E8B"/>
    <w:rsid w:val="00F2225F"/>
    <w:rsid w:val="00F227FE"/>
    <w:rsid w:val="00F2378E"/>
    <w:rsid w:val="00F266D7"/>
    <w:rsid w:val="00F27CE7"/>
    <w:rsid w:val="00F27D0B"/>
    <w:rsid w:val="00F30993"/>
    <w:rsid w:val="00F318AA"/>
    <w:rsid w:val="00F321EA"/>
    <w:rsid w:val="00F34421"/>
    <w:rsid w:val="00F35B87"/>
    <w:rsid w:val="00F36D21"/>
    <w:rsid w:val="00F37581"/>
    <w:rsid w:val="00F37A1E"/>
    <w:rsid w:val="00F37D62"/>
    <w:rsid w:val="00F42C37"/>
    <w:rsid w:val="00F448CD"/>
    <w:rsid w:val="00F448E6"/>
    <w:rsid w:val="00F46475"/>
    <w:rsid w:val="00F465CC"/>
    <w:rsid w:val="00F46FDF"/>
    <w:rsid w:val="00F502C5"/>
    <w:rsid w:val="00F51E76"/>
    <w:rsid w:val="00F52158"/>
    <w:rsid w:val="00F53365"/>
    <w:rsid w:val="00F533C4"/>
    <w:rsid w:val="00F54FDE"/>
    <w:rsid w:val="00F556DA"/>
    <w:rsid w:val="00F55DE4"/>
    <w:rsid w:val="00F56485"/>
    <w:rsid w:val="00F5691A"/>
    <w:rsid w:val="00F56D27"/>
    <w:rsid w:val="00F56F31"/>
    <w:rsid w:val="00F56FC1"/>
    <w:rsid w:val="00F578EF"/>
    <w:rsid w:val="00F610E8"/>
    <w:rsid w:val="00F61589"/>
    <w:rsid w:val="00F620AA"/>
    <w:rsid w:val="00F62485"/>
    <w:rsid w:val="00F63B24"/>
    <w:rsid w:val="00F66C03"/>
    <w:rsid w:val="00F672D5"/>
    <w:rsid w:val="00F67470"/>
    <w:rsid w:val="00F67738"/>
    <w:rsid w:val="00F67B9B"/>
    <w:rsid w:val="00F7036B"/>
    <w:rsid w:val="00F71C71"/>
    <w:rsid w:val="00F72EBF"/>
    <w:rsid w:val="00F73CAF"/>
    <w:rsid w:val="00F7482C"/>
    <w:rsid w:val="00F74F0B"/>
    <w:rsid w:val="00F77208"/>
    <w:rsid w:val="00F774D9"/>
    <w:rsid w:val="00F803C0"/>
    <w:rsid w:val="00F80684"/>
    <w:rsid w:val="00F80FA9"/>
    <w:rsid w:val="00F8253C"/>
    <w:rsid w:val="00F825B1"/>
    <w:rsid w:val="00F856D5"/>
    <w:rsid w:val="00F86CA2"/>
    <w:rsid w:val="00F87696"/>
    <w:rsid w:val="00F87B16"/>
    <w:rsid w:val="00F87BB9"/>
    <w:rsid w:val="00F93565"/>
    <w:rsid w:val="00F93E1B"/>
    <w:rsid w:val="00F93E37"/>
    <w:rsid w:val="00F9459A"/>
    <w:rsid w:val="00F97189"/>
    <w:rsid w:val="00F9730D"/>
    <w:rsid w:val="00FA08D8"/>
    <w:rsid w:val="00FA21F3"/>
    <w:rsid w:val="00FA42A6"/>
    <w:rsid w:val="00FA500B"/>
    <w:rsid w:val="00FA62A2"/>
    <w:rsid w:val="00FA6C88"/>
    <w:rsid w:val="00FA7B31"/>
    <w:rsid w:val="00FA7D3C"/>
    <w:rsid w:val="00FB0D83"/>
    <w:rsid w:val="00FB125A"/>
    <w:rsid w:val="00FB1E45"/>
    <w:rsid w:val="00FB2E9B"/>
    <w:rsid w:val="00FB4025"/>
    <w:rsid w:val="00FB40CF"/>
    <w:rsid w:val="00FB4B20"/>
    <w:rsid w:val="00FB4B95"/>
    <w:rsid w:val="00FB5111"/>
    <w:rsid w:val="00FB7752"/>
    <w:rsid w:val="00FB79CF"/>
    <w:rsid w:val="00FB7F51"/>
    <w:rsid w:val="00FC0E68"/>
    <w:rsid w:val="00FC1021"/>
    <w:rsid w:val="00FC32DF"/>
    <w:rsid w:val="00FC4950"/>
    <w:rsid w:val="00FC5F9E"/>
    <w:rsid w:val="00FD0695"/>
    <w:rsid w:val="00FD2B98"/>
    <w:rsid w:val="00FD4A75"/>
    <w:rsid w:val="00FD4B24"/>
    <w:rsid w:val="00FD566E"/>
    <w:rsid w:val="00FD7E6E"/>
    <w:rsid w:val="00FE01E1"/>
    <w:rsid w:val="00FE0902"/>
    <w:rsid w:val="00FE0F51"/>
    <w:rsid w:val="00FE390D"/>
    <w:rsid w:val="00FE3FD6"/>
    <w:rsid w:val="00FE5940"/>
    <w:rsid w:val="00FE5EC5"/>
    <w:rsid w:val="00FE635D"/>
    <w:rsid w:val="00FE7D3F"/>
    <w:rsid w:val="00FF0504"/>
    <w:rsid w:val="00FF1657"/>
    <w:rsid w:val="00FF2565"/>
    <w:rsid w:val="00FF465D"/>
    <w:rsid w:val="00FF4C78"/>
    <w:rsid w:val="00FF4F60"/>
    <w:rsid w:val="00FF6448"/>
    <w:rsid w:val="00FF69DE"/>
    <w:rsid w:val="00FF70E7"/>
    <w:rsid w:val="00FF7740"/>
    <w:rsid w:val="051C6B93"/>
    <w:rsid w:val="0C417D48"/>
    <w:rsid w:val="233E41FD"/>
    <w:rsid w:val="35DE6788"/>
    <w:rsid w:val="564E4B5F"/>
    <w:rsid w:val="5FC46833"/>
    <w:rsid w:val="6C6E45B5"/>
    <w:rsid w:val="7132699B"/>
    <w:rsid w:val="7B992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29"/>
    <w:qFormat/>
    <w:uiPriority w:val="9"/>
    <w:pPr>
      <w:keepNext/>
      <w:keepLines/>
      <w:numPr>
        <w:ilvl w:val="0"/>
        <w:numId w:val="1"/>
      </w:numPr>
      <w:adjustRightInd w:val="0"/>
      <w:snapToGrid w:val="0"/>
      <w:spacing w:before="100" w:beforeLines="100"/>
      <w:ind w:firstLine="0" w:firstLineChars="0"/>
      <w:outlineLvl w:val="0"/>
    </w:pPr>
    <w:rPr>
      <w:rFonts w:eastAsia="黑体"/>
      <w:b/>
      <w:bCs/>
      <w:kern w:val="44"/>
      <w:sz w:val="28"/>
      <w:szCs w:val="44"/>
    </w:rPr>
  </w:style>
  <w:style w:type="paragraph" w:styleId="3">
    <w:name w:val="heading 2"/>
    <w:next w:val="1"/>
    <w:link w:val="30"/>
    <w:qFormat/>
    <w:uiPriority w:val="9"/>
    <w:pPr>
      <w:keepNext/>
      <w:keepLines/>
      <w:numPr>
        <w:ilvl w:val="1"/>
        <w:numId w:val="1"/>
      </w:numPr>
      <w:spacing w:line="360" w:lineRule="auto"/>
      <w:outlineLvl w:val="1"/>
    </w:pPr>
    <w:rPr>
      <w:rFonts w:ascii="Times New Roman" w:hAnsi="Times New Roman" w:eastAsia="黑体" w:cs="Times New Roman"/>
      <w:bCs/>
      <w:kern w:val="2"/>
      <w:sz w:val="28"/>
      <w:szCs w:val="32"/>
      <w:lang w:val="en-US" w:eastAsia="zh-CN" w:bidi="ar-SA"/>
    </w:rPr>
  </w:style>
  <w:style w:type="paragraph" w:styleId="4">
    <w:name w:val="heading 3"/>
    <w:next w:val="1"/>
    <w:link w:val="24"/>
    <w:qFormat/>
    <w:uiPriority w:val="9"/>
    <w:pPr>
      <w:keepNext/>
      <w:keepLines/>
      <w:numPr>
        <w:ilvl w:val="2"/>
        <w:numId w:val="1"/>
      </w:numPr>
      <w:spacing w:line="360" w:lineRule="auto"/>
      <w:outlineLvl w:val="2"/>
    </w:pPr>
    <w:rPr>
      <w:rFonts w:ascii="Times New Roman" w:hAnsi="Times New Roman" w:eastAsia="宋体" w:cs="Times New Roman"/>
      <w:bCs/>
      <w:kern w:val="2"/>
      <w:sz w:val="24"/>
      <w:szCs w:val="32"/>
      <w:lang w:val="en-US" w:eastAsia="zh-CN" w:bidi="ar-SA"/>
    </w:rPr>
  </w:style>
  <w:style w:type="paragraph" w:styleId="5">
    <w:name w:val="heading 4"/>
    <w:basedOn w:val="1"/>
    <w:next w:val="1"/>
    <w:link w:val="33"/>
    <w:qFormat/>
    <w:uiPriority w:val="9"/>
    <w:pPr>
      <w:keepNext/>
      <w:keepLines/>
      <w:numPr>
        <w:ilvl w:val="3"/>
        <w:numId w:val="1"/>
      </w:numPr>
      <w:ind w:firstLine="0" w:firstLineChars="0"/>
      <w:outlineLvl w:val="3"/>
    </w:pPr>
    <w:rPr>
      <w:bCs/>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uiPriority w:val="0"/>
    <w:pPr>
      <w:ind w:firstLine="420"/>
    </w:pPr>
    <w:rPr>
      <w:szCs w:val="20"/>
    </w:rPr>
  </w:style>
  <w:style w:type="paragraph" w:styleId="7">
    <w:name w:val="caption"/>
    <w:basedOn w:val="1"/>
    <w:next w:val="1"/>
    <w:qFormat/>
    <w:uiPriority w:val="35"/>
    <w:pPr>
      <w:ind w:firstLine="0" w:firstLineChars="0"/>
      <w:jc w:val="center"/>
    </w:pPr>
    <w:rPr>
      <w:rFonts w:ascii="Calibri Light" w:hAnsi="Calibri Light" w:eastAsia="楷体"/>
      <w:sz w:val="21"/>
      <w:szCs w:val="20"/>
    </w:rPr>
  </w:style>
  <w:style w:type="paragraph" w:styleId="8">
    <w:name w:val="Document Map"/>
    <w:basedOn w:val="1"/>
    <w:link w:val="34"/>
    <w:unhideWhenUsed/>
    <w:qFormat/>
    <w:uiPriority w:val="99"/>
    <w:rPr>
      <w:rFonts w:ascii="宋体"/>
      <w:sz w:val="18"/>
      <w:szCs w:val="18"/>
    </w:rPr>
  </w:style>
  <w:style w:type="paragraph" w:styleId="9">
    <w:name w:val="annotation text"/>
    <w:basedOn w:val="1"/>
    <w:link w:val="46"/>
    <w:semiHidden/>
    <w:unhideWhenUsed/>
    <w:uiPriority w:val="99"/>
    <w:pPr>
      <w:jc w:val="left"/>
    </w:pPr>
  </w:style>
  <w:style w:type="paragraph" w:styleId="10">
    <w:name w:val="Body Text Indent 2"/>
    <w:basedOn w:val="1"/>
    <w:link w:val="23"/>
    <w:unhideWhenUsed/>
    <w:uiPriority w:val="99"/>
    <w:pPr>
      <w:spacing w:after="120" w:line="480" w:lineRule="auto"/>
      <w:ind w:left="420" w:leftChars="200"/>
    </w:pPr>
  </w:style>
  <w:style w:type="paragraph" w:styleId="11">
    <w:name w:val="Balloon Text"/>
    <w:basedOn w:val="1"/>
    <w:link w:val="32"/>
    <w:unhideWhenUsed/>
    <w:qFormat/>
    <w:uiPriority w:val="99"/>
    <w:pPr>
      <w:spacing w:line="240" w:lineRule="auto"/>
    </w:pPr>
    <w:rPr>
      <w:sz w:val="18"/>
      <w:szCs w:val="18"/>
    </w:rPr>
  </w:style>
  <w:style w:type="paragraph" w:styleId="12">
    <w:name w:val="footer"/>
    <w:basedOn w:val="1"/>
    <w:link w:val="28"/>
    <w:unhideWhenUsed/>
    <w:qFormat/>
    <w:uiPriority w:val="99"/>
    <w:pPr>
      <w:tabs>
        <w:tab w:val="center" w:pos="4153"/>
        <w:tab w:val="right" w:pos="8306"/>
      </w:tabs>
      <w:snapToGrid w:val="0"/>
      <w:spacing w:line="240" w:lineRule="auto"/>
      <w:jc w:val="left"/>
    </w:pPr>
    <w:rPr>
      <w:kern w:val="0"/>
      <w:sz w:val="18"/>
      <w:szCs w:val="18"/>
    </w:rPr>
  </w:style>
  <w:style w:type="paragraph" w:styleId="13">
    <w:name w:val="header"/>
    <w:basedOn w:val="1"/>
    <w:link w:val="27"/>
    <w:unhideWhenUsed/>
    <w:uiPriority w:val="99"/>
    <w:pPr>
      <w:pBdr>
        <w:bottom w:val="single" w:color="auto" w:sz="6" w:space="1"/>
      </w:pBdr>
      <w:tabs>
        <w:tab w:val="center" w:pos="4153"/>
        <w:tab w:val="right" w:pos="8306"/>
      </w:tabs>
      <w:snapToGrid w:val="0"/>
      <w:spacing w:line="240" w:lineRule="auto"/>
      <w:jc w:val="center"/>
    </w:pPr>
    <w:rPr>
      <w:kern w:val="0"/>
      <w:sz w:val="18"/>
      <w:szCs w:val="18"/>
    </w:rPr>
  </w:style>
  <w:style w:type="paragraph" w:styleId="14">
    <w:name w:val="toc 1"/>
    <w:basedOn w:val="1"/>
    <w:next w:val="1"/>
    <w:unhideWhenUsed/>
    <w:qFormat/>
    <w:uiPriority w:val="39"/>
  </w:style>
  <w:style w:type="paragraph" w:styleId="15">
    <w:name w:val="Body Text Indent 3"/>
    <w:basedOn w:val="1"/>
    <w:link w:val="31"/>
    <w:uiPriority w:val="0"/>
    <w:pPr>
      <w:spacing w:after="120"/>
      <w:ind w:left="420" w:leftChars="200"/>
    </w:pPr>
    <w:rPr>
      <w:sz w:val="16"/>
      <w:szCs w:val="16"/>
    </w:rPr>
  </w:style>
  <w:style w:type="paragraph" w:styleId="16">
    <w:name w:val="toc 2"/>
    <w:basedOn w:val="1"/>
    <w:next w:val="1"/>
    <w:unhideWhenUsed/>
    <w:qFormat/>
    <w:uiPriority w:val="39"/>
    <w:pPr>
      <w:ind w:left="420" w:leftChars="200"/>
    </w:pPr>
  </w:style>
  <w:style w:type="paragraph" w:styleId="17">
    <w:name w:val="annotation subject"/>
    <w:basedOn w:val="9"/>
    <w:next w:val="9"/>
    <w:link w:val="47"/>
    <w:semiHidden/>
    <w:unhideWhenUsed/>
    <w:qFormat/>
    <w:uiPriority w:val="99"/>
    <w:rPr>
      <w:b/>
      <w:bCs/>
    </w:rPr>
  </w:style>
  <w:style w:type="table" w:styleId="19">
    <w:name w:val="Table Grid"/>
    <w:basedOn w:val="1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Hyperlink"/>
    <w:unhideWhenUsed/>
    <w:qFormat/>
    <w:uiPriority w:val="99"/>
    <w:rPr>
      <w:color w:val="0000FF"/>
      <w:u w:val="single"/>
    </w:rPr>
  </w:style>
  <w:style w:type="character" w:styleId="22">
    <w:name w:val="annotation reference"/>
    <w:semiHidden/>
    <w:unhideWhenUsed/>
    <w:uiPriority w:val="99"/>
    <w:rPr>
      <w:sz w:val="21"/>
      <w:szCs w:val="21"/>
    </w:rPr>
  </w:style>
  <w:style w:type="character" w:customStyle="1" w:styleId="23">
    <w:name w:val="正文文本缩进 2 字符"/>
    <w:link w:val="10"/>
    <w:semiHidden/>
    <w:qFormat/>
    <w:uiPriority w:val="99"/>
    <w:rPr>
      <w:rFonts w:ascii="Times New Roman" w:hAnsi="Times New Roman"/>
      <w:kern w:val="2"/>
      <w:sz w:val="24"/>
      <w:szCs w:val="22"/>
    </w:rPr>
  </w:style>
  <w:style w:type="character" w:customStyle="1" w:styleId="24">
    <w:name w:val="标题 3 字符"/>
    <w:link w:val="4"/>
    <w:qFormat/>
    <w:uiPriority w:val="9"/>
    <w:rPr>
      <w:rFonts w:ascii="Times New Roman" w:hAnsi="Times New Roman"/>
      <w:bCs/>
      <w:kern w:val="2"/>
      <w:sz w:val="24"/>
      <w:szCs w:val="32"/>
      <w:lang w:bidi="ar-SA"/>
    </w:rPr>
  </w:style>
  <w:style w:type="character" w:customStyle="1" w:styleId="25">
    <w:name w:val="图表 Char"/>
    <w:link w:val="26"/>
    <w:qFormat/>
    <w:uiPriority w:val="0"/>
    <w:rPr>
      <w:rFonts w:ascii="Times New Roman" w:hAnsi="Times New Roman"/>
      <w:kern w:val="2"/>
      <w:sz w:val="21"/>
      <w:szCs w:val="22"/>
    </w:rPr>
  </w:style>
  <w:style w:type="paragraph" w:customStyle="1" w:styleId="26">
    <w:name w:val="图表"/>
    <w:basedOn w:val="1"/>
    <w:next w:val="1"/>
    <w:link w:val="25"/>
    <w:qFormat/>
    <w:uiPriority w:val="0"/>
    <w:pPr>
      <w:spacing w:line="240" w:lineRule="auto"/>
      <w:ind w:firstLine="0" w:firstLineChars="0"/>
      <w:jc w:val="center"/>
    </w:pPr>
    <w:rPr>
      <w:sz w:val="21"/>
    </w:rPr>
  </w:style>
  <w:style w:type="character" w:customStyle="1" w:styleId="27">
    <w:name w:val="页眉 字符"/>
    <w:link w:val="13"/>
    <w:qFormat/>
    <w:uiPriority w:val="99"/>
    <w:rPr>
      <w:rFonts w:ascii="Times New Roman" w:hAnsi="Times New Roman" w:eastAsia="宋体" w:cs="Times New Roman"/>
      <w:sz w:val="18"/>
      <w:szCs w:val="18"/>
    </w:rPr>
  </w:style>
  <w:style w:type="character" w:customStyle="1" w:styleId="28">
    <w:name w:val="页脚 字符"/>
    <w:link w:val="12"/>
    <w:qFormat/>
    <w:uiPriority w:val="99"/>
    <w:rPr>
      <w:rFonts w:ascii="Times New Roman" w:hAnsi="Times New Roman" w:eastAsia="宋体" w:cs="Times New Roman"/>
      <w:sz w:val="18"/>
      <w:szCs w:val="18"/>
    </w:rPr>
  </w:style>
  <w:style w:type="character" w:customStyle="1" w:styleId="29">
    <w:name w:val="标题 1 字符"/>
    <w:link w:val="2"/>
    <w:qFormat/>
    <w:uiPriority w:val="9"/>
    <w:rPr>
      <w:rFonts w:ascii="Times New Roman" w:hAnsi="Times New Roman" w:eastAsia="黑体"/>
      <w:b/>
      <w:bCs/>
      <w:kern w:val="44"/>
      <w:sz w:val="28"/>
      <w:szCs w:val="44"/>
      <w:lang w:bidi="ar-SA"/>
    </w:rPr>
  </w:style>
  <w:style w:type="character" w:customStyle="1" w:styleId="30">
    <w:name w:val="标题 2 字符"/>
    <w:link w:val="3"/>
    <w:qFormat/>
    <w:uiPriority w:val="9"/>
    <w:rPr>
      <w:rFonts w:ascii="Times New Roman" w:hAnsi="Times New Roman" w:eastAsia="黑体"/>
      <w:bCs/>
      <w:kern w:val="2"/>
      <w:sz w:val="28"/>
      <w:szCs w:val="32"/>
    </w:rPr>
  </w:style>
  <w:style w:type="character" w:customStyle="1" w:styleId="31">
    <w:name w:val="正文文本缩进 3 字符"/>
    <w:link w:val="15"/>
    <w:qFormat/>
    <w:uiPriority w:val="0"/>
    <w:rPr>
      <w:rFonts w:ascii="Times New Roman" w:hAnsi="Times New Roman"/>
      <w:kern w:val="2"/>
      <w:sz w:val="16"/>
      <w:szCs w:val="16"/>
    </w:rPr>
  </w:style>
  <w:style w:type="character" w:customStyle="1" w:styleId="32">
    <w:name w:val="批注框文本 字符"/>
    <w:link w:val="11"/>
    <w:semiHidden/>
    <w:qFormat/>
    <w:uiPriority w:val="99"/>
    <w:rPr>
      <w:rFonts w:ascii="Times New Roman" w:hAnsi="Times New Roman"/>
      <w:kern w:val="2"/>
      <w:sz w:val="18"/>
      <w:szCs w:val="18"/>
    </w:rPr>
  </w:style>
  <w:style w:type="character" w:customStyle="1" w:styleId="33">
    <w:name w:val="标题 4 字符"/>
    <w:link w:val="5"/>
    <w:uiPriority w:val="9"/>
    <w:rPr>
      <w:rFonts w:ascii="Times New Roman" w:hAnsi="Times New Roman" w:cs="Times New Roman"/>
      <w:bCs/>
      <w:kern w:val="2"/>
      <w:sz w:val="24"/>
      <w:szCs w:val="28"/>
    </w:rPr>
  </w:style>
  <w:style w:type="character" w:customStyle="1" w:styleId="34">
    <w:name w:val="文档结构图 字符"/>
    <w:link w:val="8"/>
    <w:semiHidden/>
    <w:uiPriority w:val="99"/>
    <w:rPr>
      <w:rFonts w:ascii="宋体" w:hAnsi="Times New Roman"/>
      <w:kern w:val="2"/>
      <w:sz w:val="18"/>
      <w:szCs w:val="18"/>
    </w:rPr>
  </w:style>
  <w:style w:type="paragraph" w:customStyle="1" w:styleId="35">
    <w:name w:val="列出段落1"/>
    <w:basedOn w:val="1"/>
    <w:qFormat/>
    <w:uiPriority w:val="34"/>
    <w:pPr>
      <w:ind w:firstLine="420"/>
      <w:jc w:val="left"/>
    </w:pPr>
    <w:rPr>
      <w:rFonts w:ascii="Calibri" w:hAnsi="Calibri"/>
    </w:rPr>
  </w:style>
  <w:style w:type="paragraph" w:customStyle="1" w:styleId="36">
    <w:name w:val="目录 21"/>
    <w:basedOn w:val="1"/>
    <w:next w:val="1"/>
    <w:unhideWhenUsed/>
    <w:qFormat/>
    <w:uiPriority w:val="39"/>
    <w:pPr>
      <w:ind w:left="240"/>
      <w:jc w:val="left"/>
    </w:pPr>
    <w:rPr>
      <w:rFonts w:ascii="Calibri" w:hAnsi="Calibri" w:cs="Calibri"/>
      <w:smallCaps/>
      <w:sz w:val="20"/>
      <w:szCs w:val="20"/>
    </w:rPr>
  </w:style>
  <w:style w:type="paragraph" w:customStyle="1" w:styleId="37">
    <w:name w:val="目录 41"/>
    <w:basedOn w:val="1"/>
    <w:next w:val="1"/>
    <w:unhideWhenUsed/>
    <w:uiPriority w:val="39"/>
    <w:pPr>
      <w:ind w:left="720"/>
      <w:jc w:val="left"/>
    </w:pPr>
    <w:rPr>
      <w:rFonts w:ascii="Calibri" w:hAnsi="Calibri" w:cs="Calibri"/>
      <w:sz w:val="18"/>
      <w:szCs w:val="18"/>
    </w:rPr>
  </w:style>
  <w:style w:type="paragraph" w:customStyle="1" w:styleId="38">
    <w:name w:val="Char Char Char Char Char Char Char Char Char1 Char Char Char Char"/>
    <w:basedOn w:val="1"/>
    <w:uiPriority w:val="0"/>
    <w:pPr>
      <w:widowControl/>
      <w:spacing w:after="160" w:line="240" w:lineRule="exact"/>
      <w:ind w:firstLine="0" w:firstLineChars="0"/>
      <w:jc w:val="left"/>
    </w:pPr>
    <w:rPr>
      <w:rFonts w:ascii="Arial" w:hAnsi="Arial" w:eastAsia="Times New Roman" w:cs="Verdana"/>
      <w:b/>
      <w:kern w:val="0"/>
      <w:szCs w:val="24"/>
      <w:lang w:eastAsia="en-US"/>
    </w:rPr>
  </w:style>
  <w:style w:type="paragraph" w:customStyle="1" w:styleId="39">
    <w:name w:val="目录 91"/>
    <w:basedOn w:val="1"/>
    <w:next w:val="1"/>
    <w:unhideWhenUsed/>
    <w:uiPriority w:val="39"/>
    <w:pPr>
      <w:ind w:left="1920"/>
      <w:jc w:val="left"/>
    </w:pPr>
    <w:rPr>
      <w:rFonts w:ascii="Calibri" w:hAnsi="Calibri" w:cs="Calibri"/>
      <w:sz w:val="18"/>
      <w:szCs w:val="18"/>
    </w:rPr>
  </w:style>
  <w:style w:type="paragraph" w:customStyle="1" w:styleId="40">
    <w:name w:val="目录 51"/>
    <w:basedOn w:val="1"/>
    <w:next w:val="1"/>
    <w:unhideWhenUsed/>
    <w:uiPriority w:val="39"/>
    <w:pPr>
      <w:ind w:left="960"/>
      <w:jc w:val="left"/>
    </w:pPr>
    <w:rPr>
      <w:rFonts w:ascii="Calibri" w:hAnsi="Calibri" w:cs="Calibri"/>
      <w:sz w:val="18"/>
      <w:szCs w:val="18"/>
    </w:rPr>
  </w:style>
  <w:style w:type="paragraph" w:customStyle="1" w:styleId="41">
    <w:name w:val="目录 71"/>
    <w:basedOn w:val="1"/>
    <w:next w:val="1"/>
    <w:unhideWhenUsed/>
    <w:uiPriority w:val="39"/>
    <w:pPr>
      <w:ind w:left="1440"/>
      <w:jc w:val="left"/>
    </w:pPr>
    <w:rPr>
      <w:rFonts w:ascii="Calibri" w:hAnsi="Calibri" w:cs="Calibri"/>
      <w:sz w:val="18"/>
      <w:szCs w:val="18"/>
    </w:rPr>
  </w:style>
  <w:style w:type="paragraph" w:customStyle="1" w:styleId="42">
    <w:name w:val="目录 61"/>
    <w:basedOn w:val="1"/>
    <w:next w:val="1"/>
    <w:unhideWhenUsed/>
    <w:uiPriority w:val="39"/>
    <w:pPr>
      <w:ind w:left="1200"/>
      <w:jc w:val="left"/>
    </w:pPr>
    <w:rPr>
      <w:rFonts w:ascii="Calibri" w:hAnsi="Calibri" w:cs="Calibri"/>
      <w:sz w:val="18"/>
      <w:szCs w:val="18"/>
    </w:rPr>
  </w:style>
  <w:style w:type="paragraph" w:customStyle="1" w:styleId="43">
    <w:name w:val="目录 11"/>
    <w:basedOn w:val="1"/>
    <w:next w:val="1"/>
    <w:unhideWhenUsed/>
    <w:qFormat/>
    <w:uiPriority w:val="39"/>
    <w:pPr>
      <w:spacing w:before="120" w:after="120"/>
      <w:jc w:val="left"/>
    </w:pPr>
    <w:rPr>
      <w:rFonts w:ascii="Calibri" w:hAnsi="Calibri" w:cs="Calibri"/>
      <w:b/>
      <w:bCs/>
      <w:caps/>
      <w:sz w:val="20"/>
      <w:szCs w:val="20"/>
    </w:rPr>
  </w:style>
  <w:style w:type="paragraph" w:customStyle="1" w:styleId="44">
    <w:name w:val="目录 81"/>
    <w:basedOn w:val="1"/>
    <w:next w:val="1"/>
    <w:unhideWhenUsed/>
    <w:qFormat/>
    <w:uiPriority w:val="39"/>
    <w:pPr>
      <w:ind w:left="1680"/>
      <w:jc w:val="left"/>
    </w:pPr>
    <w:rPr>
      <w:rFonts w:ascii="Calibri" w:hAnsi="Calibri" w:cs="Calibri"/>
      <w:sz w:val="18"/>
      <w:szCs w:val="18"/>
    </w:rPr>
  </w:style>
  <w:style w:type="paragraph" w:customStyle="1" w:styleId="45">
    <w:name w:val="目录 31"/>
    <w:basedOn w:val="1"/>
    <w:next w:val="1"/>
    <w:unhideWhenUsed/>
    <w:uiPriority w:val="39"/>
    <w:pPr>
      <w:ind w:left="480"/>
      <w:jc w:val="left"/>
    </w:pPr>
    <w:rPr>
      <w:rFonts w:ascii="Calibri" w:hAnsi="Calibri" w:cs="Calibri"/>
      <w:i/>
      <w:iCs/>
      <w:sz w:val="20"/>
      <w:szCs w:val="20"/>
    </w:rPr>
  </w:style>
  <w:style w:type="character" w:customStyle="1" w:styleId="46">
    <w:name w:val="批注文字 字符"/>
    <w:link w:val="9"/>
    <w:semiHidden/>
    <w:uiPriority w:val="99"/>
    <w:rPr>
      <w:rFonts w:ascii="Times New Roman" w:hAnsi="Times New Roman"/>
      <w:kern w:val="2"/>
      <w:sz w:val="24"/>
      <w:szCs w:val="22"/>
    </w:rPr>
  </w:style>
  <w:style w:type="character" w:customStyle="1" w:styleId="47">
    <w:name w:val="批注主题 字符"/>
    <w:link w:val="17"/>
    <w:semiHidden/>
    <w:qFormat/>
    <w:uiPriority w:val="99"/>
    <w:rPr>
      <w:rFonts w:ascii="Times New Roman" w:hAnsi="Times New Roman"/>
      <w:b/>
      <w:bCs/>
      <w:kern w:val="2"/>
      <w:sz w:val="24"/>
      <w:szCs w:val="22"/>
    </w:rPr>
  </w:style>
  <w:style w:type="character" w:customStyle="1" w:styleId="48">
    <w:name w:val="fontstyle01"/>
    <w:qFormat/>
    <w:uiPriority w:val="0"/>
    <w:rPr>
      <w:rFonts w:hint="eastAsia" w:ascii="宋体" w:hAnsi="宋体" w:eastAsia="宋体"/>
      <w:color w:val="000000"/>
      <w:sz w:val="20"/>
      <w:szCs w:val="20"/>
    </w:rPr>
  </w:style>
  <w:style w:type="character" w:customStyle="1" w:styleId="49">
    <w:name w:val="表格字体11 Char"/>
    <w:link w:val="50"/>
    <w:uiPriority w:val="0"/>
    <w:rPr>
      <w:rFonts w:ascii="Times New Roman" w:hAnsi="Times New Roman"/>
      <w:bCs/>
      <w:color w:val="000000"/>
      <w:kern w:val="24"/>
      <w:szCs w:val="21"/>
    </w:rPr>
  </w:style>
  <w:style w:type="paragraph" w:customStyle="1" w:styleId="50">
    <w:name w:val="表格字体11"/>
    <w:basedOn w:val="1"/>
    <w:link w:val="49"/>
    <w:qFormat/>
    <w:uiPriority w:val="0"/>
    <w:pPr>
      <w:spacing w:line="240" w:lineRule="auto"/>
      <w:ind w:firstLine="0" w:firstLineChars="0"/>
      <w:jc w:val="center"/>
      <w:textAlignment w:val="baseline"/>
    </w:pPr>
    <w:rPr>
      <w:bCs/>
      <w:color w:val="000000"/>
      <w:kern w:val="24"/>
      <w:sz w:val="20"/>
      <w:szCs w:val="21"/>
    </w:rPr>
  </w:style>
  <w:style w:type="table" w:customStyle="1" w:styleId="51">
    <w:name w:val="Table Normal"/>
    <w:semiHidden/>
    <w:unhideWhenUsed/>
    <w:qFormat/>
    <w:uiPriority w:val="2"/>
    <w:pPr>
      <w:widowControl w:val="0"/>
      <w:autoSpaceDE w:val="0"/>
      <w:autoSpaceDN w:val="0"/>
    </w:pPr>
    <w:rPr>
      <w:sz w:val="22"/>
      <w:szCs w:val="22"/>
      <w:lang w:eastAsia="en-US"/>
    </w:rPr>
    <w:tblPr>
      <w:tblLayout w:type="fixed"/>
      <w:tblCellMar>
        <w:top w:w="0" w:type="dxa"/>
        <w:left w:w="0" w:type="dxa"/>
        <w:bottom w:w="0" w:type="dxa"/>
        <w:right w:w="0" w:type="dxa"/>
      </w:tblCellMar>
    </w:tblPr>
  </w:style>
  <w:style w:type="paragraph" w:customStyle="1" w:styleId="52">
    <w:name w:val="Revision"/>
    <w:hidden/>
    <w:unhideWhenUsed/>
    <w:uiPriority w:val="99"/>
    <w:rPr>
      <w:rFonts w:ascii="Times New Roman" w:hAnsi="Times New Roman" w:eastAsia="宋体" w:cs="Times New Roman"/>
      <w:kern w:val="2"/>
      <w:sz w:val="24"/>
      <w:szCs w:val="22"/>
      <w:lang w:val="en-US" w:eastAsia="zh-CN" w:bidi="ar-SA"/>
    </w:rPr>
  </w:style>
  <w:style w:type="paragraph" w:styleId="5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1291</Words>
  <Characters>7363</Characters>
  <Lines>61</Lines>
  <Paragraphs>17</Paragraphs>
  <TotalTime>776</TotalTime>
  <ScaleCrop>false</ScaleCrop>
  <LinksUpToDate>false</LinksUpToDate>
  <CharactersWithSpaces>8637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2022-09-04T02:42:00Z</dcterms:created>
  <dc:creator>Xiao</dc:creator>
  <cp:lastModifiedBy>ThinkBook</cp:lastModifiedBy>
  <cp:lastPrinted>2015-01-28T07:16:00Z</cp:lastPrinted>
  <dcterms:modified xsi:type="dcterms:W3CDTF">2024-10-14T07:58:02Z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